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F9" w:rsidRPr="00386CBC" w:rsidRDefault="006708F9" w:rsidP="006708F9">
      <w:pPr>
        <w:jc w:val="center"/>
        <w:rPr>
          <w:rFonts w:ascii="ＭＳ ゴシック" w:eastAsia="ＭＳ ゴシック" w:hAnsi="ＭＳ ゴシック"/>
          <w:b/>
          <w:kern w:val="0"/>
          <w:sz w:val="28"/>
          <w:szCs w:val="28"/>
          <w:u w:val="single"/>
        </w:rPr>
      </w:pPr>
      <w:r>
        <w:rPr>
          <w:rFonts w:ascii="ＭＳ ゴシック" w:eastAsia="ＭＳ ゴシック" w:hAnsi="ＭＳ ゴシック" w:hint="eastAsia"/>
          <w:b/>
          <w:kern w:val="0"/>
          <w:sz w:val="28"/>
          <w:szCs w:val="28"/>
          <w:u w:val="single"/>
        </w:rPr>
        <w:t>該非判定票</w:t>
      </w: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4"/>
        <w:gridCol w:w="7032"/>
      </w:tblGrid>
      <w:tr w:rsidR="006708F9" w:rsidRPr="005D440B" w:rsidTr="006708F9">
        <w:trPr>
          <w:trHeight w:hRule="exact" w:val="1338"/>
        </w:trPr>
        <w:tc>
          <w:tcPr>
            <w:tcW w:w="2324" w:type="dxa"/>
          </w:tcPr>
          <w:p w:rsidR="006708F9" w:rsidRPr="005D440B" w:rsidRDefault="006708F9" w:rsidP="00E94ABB">
            <w:pPr>
              <w:spacing w:before="12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技術の名称、取引概要</w:t>
            </w:r>
          </w:p>
          <w:p w:rsidR="006708F9" w:rsidRPr="005D440B" w:rsidRDefault="006708F9" w:rsidP="00E94ABB">
            <w:pP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貨物の名称、型及び等級</w:t>
            </w:r>
          </w:p>
        </w:tc>
        <w:tc>
          <w:tcPr>
            <w:tcW w:w="7032" w:type="dxa"/>
          </w:tcPr>
          <w:p w:rsidR="006708F9" w:rsidRPr="005D440B" w:rsidRDefault="006708F9" w:rsidP="00E94ABB">
            <w:pPr>
              <w:rPr>
                <w:rFonts w:ascii="ＭＳ ゴシック" w:eastAsia="ＭＳ ゴシック" w:hAnsi="ＭＳ ゴシック"/>
                <w:sz w:val="21"/>
                <w:szCs w:val="21"/>
              </w:rPr>
            </w:pPr>
          </w:p>
          <w:p w:rsidR="006708F9" w:rsidRPr="005D440B" w:rsidRDefault="006708F9" w:rsidP="00E94ABB">
            <w:pPr>
              <w:rPr>
                <w:rFonts w:ascii="ＭＳ ゴシック" w:eastAsia="ＭＳ ゴシック" w:hAnsi="ＭＳ ゴシック"/>
                <w:sz w:val="21"/>
                <w:szCs w:val="21"/>
              </w:rPr>
            </w:pPr>
          </w:p>
          <w:p w:rsidR="006708F9" w:rsidRPr="005D440B" w:rsidRDefault="006708F9" w:rsidP="00E94ABB">
            <w:pPr>
              <w:rPr>
                <w:rFonts w:ascii="ＭＳ ゴシック" w:eastAsia="ＭＳ ゴシック" w:hAnsi="ＭＳ ゴシック"/>
                <w:sz w:val="21"/>
                <w:szCs w:val="21"/>
              </w:rPr>
            </w:pPr>
          </w:p>
        </w:tc>
      </w:tr>
    </w:tbl>
    <w:p w:rsidR="006708F9" w:rsidRPr="005D440B" w:rsidRDefault="006708F9" w:rsidP="006708F9">
      <w:pPr>
        <w:rPr>
          <w:rFonts w:ascii="ＭＳ ゴシック" w:eastAsia="ＭＳ ゴシック" w:hAnsi="ＭＳ ゴシック"/>
          <w:sz w:val="21"/>
          <w:szCs w:val="21"/>
        </w:rPr>
      </w:pPr>
    </w:p>
    <w:tbl>
      <w:tblPr>
        <w:tblW w:w="467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0"/>
        <w:gridCol w:w="1399"/>
        <w:gridCol w:w="1559"/>
      </w:tblGrid>
      <w:tr w:rsidR="006708F9" w:rsidRPr="005D440B" w:rsidTr="006708F9">
        <w:tc>
          <w:tcPr>
            <w:tcW w:w="1720" w:type="dxa"/>
          </w:tcPr>
          <w:p w:rsidR="006708F9" w:rsidRPr="005D440B" w:rsidRDefault="006708F9" w:rsidP="006708F9">
            <w:pPr>
              <w:spacing w:line="30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外国為替令別表の項番</w:t>
            </w:r>
          </w:p>
        </w:tc>
        <w:tc>
          <w:tcPr>
            <w:tcW w:w="2958" w:type="dxa"/>
            <w:gridSpan w:val="2"/>
          </w:tcPr>
          <w:p w:rsidR="006708F9" w:rsidRPr="005D440B" w:rsidRDefault="006708F9" w:rsidP="00E94ABB">
            <w:pPr>
              <w:spacing w:line="300" w:lineRule="exact"/>
              <w:jc w:val="center"/>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s">
                  <w:drawing>
                    <wp:anchor distT="0" distB="0" distL="114300" distR="114300" simplePos="0" relativeHeight="251659264" behindDoc="0" locked="0" layoutInCell="1" allowOverlap="1">
                      <wp:simplePos x="0" y="0"/>
                      <wp:positionH relativeFrom="column">
                        <wp:posOffset>2032923</wp:posOffset>
                      </wp:positionH>
                      <wp:positionV relativeFrom="paragraph">
                        <wp:posOffset>326833</wp:posOffset>
                      </wp:positionV>
                      <wp:extent cx="2742565" cy="3364302"/>
                      <wp:effectExtent l="0" t="0" r="635" b="762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36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F9" w:rsidRPr="00900BA7" w:rsidRDefault="006708F9" w:rsidP="006708F9">
                                  <w:pPr>
                                    <w:spacing w:after="120" w:line="300" w:lineRule="exact"/>
                                    <w:ind w:left="210" w:hangingChars="100" w:hanging="210"/>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※技術の内容・性能を法令（外国為替令別表、貨物等省令、解釈通達）に照合した上で、それぞれの項について「該当する」「該当しない」のいずれかに○印を付けてください。</w:t>
                                  </w:r>
                                </w:p>
                                <w:p w:rsidR="006708F9" w:rsidRPr="001973B4" w:rsidRDefault="006708F9" w:rsidP="006708F9">
                                  <w:pPr>
                                    <w:spacing w:after="120" w:line="300" w:lineRule="exact"/>
                                    <w:ind w:left="210" w:hangingChars="100" w:hanging="210"/>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※「該当する」に○印</w:t>
                                  </w:r>
                                  <w:r w:rsidRPr="005D440B">
                                    <w:rPr>
                                      <w:rFonts w:ascii="ＭＳ ゴシック" w:eastAsia="ＭＳ ゴシック" w:hAnsi="ＭＳ ゴシック" w:hint="eastAsia"/>
                                      <w:sz w:val="21"/>
                                      <w:szCs w:val="21"/>
                                    </w:rPr>
                                    <w:t>を付けた項については、貨物等省令、解釈通達の関係箇所と技術の仕様（性能）を比較し、該当すると判断した根拠を</w:t>
                                  </w:r>
                                  <w:r w:rsidRPr="001973B4">
                                    <w:rPr>
                                      <w:rFonts w:ascii="ＭＳ ゴシック" w:eastAsia="ＭＳ ゴシック" w:hAnsi="ＭＳ ゴシック" w:hint="eastAsia"/>
                                      <w:sz w:val="21"/>
                                      <w:szCs w:val="21"/>
                                    </w:rPr>
                                    <w:t>、別紙「対比表」に明記してください。</w:t>
                                  </w:r>
                                </w:p>
                                <w:p w:rsidR="006708F9" w:rsidRPr="005D440B" w:rsidRDefault="006708F9" w:rsidP="006708F9">
                                  <w:pPr>
                                    <w:spacing w:line="300" w:lineRule="exact"/>
                                    <w:ind w:left="210" w:hangingChars="100" w:hanging="210"/>
                                    <w:rPr>
                                      <w:rFonts w:ascii="ＭＳ ゴシック" w:eastAsia="ＭＳ ゴシック" w:hAnsi="ＭＳ ゴシック"/>
                                      <w:sz w:val="21"/>
                                      <w:szCs w:val="21"/>
                                    </w:rPr>
                                  </w:pPr>
                                  <w:r w:rsidRPr="001973B4">
                                    <w:rPr>
                                      <w:rFonts w:ascii="ＭＳ ゴシック" w:eastAsia="ＭＳ ゴシック" w:hAnsi="ＭＳ ゴシック" w:hint="eastAsia"/>
                                      <w:sz w:val="21"/>
                                      <w:szCs w:val="21"/>
                                    </w:rPr>
                                    <w:t>※「該当しない」に○印を付けた項でも、技術の性質上その項に近いものである場合には、貨物等省令、解釈通達の関係箇所と貨物の仕様（性能）を比較し、該当しないと判断した根拠を、別紙「対比表」に明</w:t>
                                  </w:r>
                                  <w:r w:rsidRPr="005D440B">
                                    <w:rPr>
                                      <w:rFonts w:ascii="ＭＳ ゴシック" w:eastAsia="ＭＳ ゴシック" w:hAnsi="ＭＳ ゴシック" w:hint="eastAsia"/>
                                      <w:sz w:val="21"/>
                                      <w:szCs w:val="21"/>
                                    </w:rPr>
                                    <w:t>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160.05pt;margin-top:25.75pt;width:215.95pt;height:2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" stroked="f">
                      <v:textbox inset="5.85pt,.7pt,5.85pt,.7pt">
                        <w:txbxContent>
                          <w:p w:rsidR="006708F9" w:rsidRPr="00900BA7" w:rsidRDefault="006708F9" w:rsidP="006708F9">
                            <w:pPr>
                              <w:spacing w:after="120" w:line="300" w:lineRule="exact"/>
                              <w:ind w:left="210" w:hangingChars="100" w:hanging="210"/>
                              <w:rPr>
                                <w:rFonts w:ascii="ＭＳ ゴシック" w:eastAsia="ＭＳ ゴシック" w:hAnsi="ＭＳ ゴシック" w:hint="eastAsia"/>
                                <w:sz w:val="21"/>
                                <w:szCs w:val="21"/>
                              </w:rPr>
                            </w:pPr>
                            <w:r w:rsidRPr="00900BA7">
                              <w:rPr>
                                <w:rFonts w:ascii="ＭＳ ゴシック" w:eastAsia="ＭＳ ゴシック" w:hAnsi="ＭＳ ゴシック" w:hint="eastAsia"/>
                                <w:sz w:val="21"/>
                                <w:szCs w:val="21"/>
                              </w:rPr>
                              <w:t>※技術の内容・性能を法令（外国為替令別表、貨物等省令、解釈通達）に照合した上で、それぞれの項について「該当する」「該当しない」のいずれかに○印を付けてください。</w:t>
                            </w:r>
                          </w:p>
                          <w:p w:rsidR="006708F9" w:rsidRPr="001973B4" w:rsidRDefault="006708F9" w:rsidP="006708F9">
                            <w:pPr>
                              <w:spacing w:after="120" w:line="300" w:lineRule="exact"/>
                              <w:ind w:left="210" w:hangingChars="100" w:hanging="210"/>
                              <w:rPr>
                                <w:rFonts w:ascii="ＭＳ ゴシック" w:eastAsia="ＭＳ ゴシック" w:hAnsi="ＭＳ ゴシック" w:hint="eastAsia"/>
                                <w:sz w:val="21"/>
                                <w:szCs w:val="21"/>
                              </w:rPr>
                            </w:pPr>
                            <w:r w:rsidRPr="00900BA7">
                              <w:rPr>
                                <w:rFonts w:ascii="ＭＳ ゴシック" w:eastAsia="ＭＳ ゴシック" w:hAnsi="ＭＳ ゴシック" w:hint="eastAsia"/>
                                <w:sz w:val="21"/>
                                <w:szCs w:val="21"/>
                              </w:rPr>
                              <w:t>※「該当する」に○印</w:t>
                            </w:r>
                            <w:r w:rsidRPr="005D440B">
                              <w:rPr>
                                <w:rFonts w:ascii="ＭＳ ゴシック" w:eastAsia="ＭＳ ゴシック" w:hAnsi="ＭＳ ゴシック" w:hint="eastAsia"/>
                                <w:sz w:val="21"/>
                                <w:szCs w:val="21"/>
                              </w:rPr>
                              <w:t>を付けた項については、貨物等省令、解釈通達の関係箇所と技術の仕様（性能）を比較し、該当すると判断した根拠を</w:t>
                            </w:r>
                            <w:r w:rsidRPr="001973B4">
                              <w:rPr>
                                <w:rFonts w:ascii="ＭＳ ゴシック" w:eastAsia="ＭＳ ゴシック" w:hAnsi="ＭＳ ゴシック" w:hint="eastAsia"/>
                                <w:sz w:val="21"/>
                                <w:szCs w:val="21"/>
                              </w:rPr>
                              <w:t>、別紙「対比表」に明記してください。</w:t>
                            </w:r>
                          </w:p>
                          <w:p w:rsidR="006708F9" w:rsidRPr="005D440B" w:rsidRDefault="006708F9" w:rsidP="006708F9">
                            <w:pPr>
                              <w:spacing w:line="300" w:lineRule="exact"/>
                              <w:ind w:left="210" w:hangingChars="100" w:hanging="210"/>
                              <w:rPr>
                                <w:rFonts w:ascii="ＭＳ ゴシック" w:eastAsia="ＭＳ ゴシック" w:hAnsi="ＭＳ ゴシック"/>
                                <w:sz w:val="21"/>
                                <w:szCs w:val="21"/>
                              </w:rPr>
                            </w:pPr>
                            <w:r w:rsidRPr="001973B4">
                              <w:rPr>
                                <w:rFonts w:ascii="ＭＳ ゴシック" w:eastAsia="ＭＳ ゴシック" w:hAnsi="ＭＳ ゴシック" w:hint="eastAsia"/>
                                <w:sz w:val="21"/>
                                <w:szCs w:val="21"/>
                              </w:rPr>
                              <w:t>※「該当しない」に○印を付けた項でも、技術の性質上その項に近いものである場合には、貨物等省令、解釈通達の関係箇所と貨物の仕様（性能）を比較し、該当しないと判断した根拠を、別紙「対比表」に明</w:t>
                            </w:r>
                            <w:r w:rsidRPr="005D440B">
                              <w:rPr>
                                <w:rFonts w:ascii="ＭＳ ゴシック" w:eastAsia="ＭＳ ゴシック" w:hAnsi="ＭＳ ゴシック" w:hint="eastAsia"/>
                                <w:sz w:val="21"/>
                                <w:szCs w:val="21"/>
                              </w:rPr>
                              <w:t>記してください。</w:t>
                            </w:r>
                          </w:p>
                        </w:txbxContent>
                      </v:textbox>
                    </v:shape>
                  </w:pict>
                </mc:Fallback>
              </mc:AlternateContent>
            </w:r>
          </w:p>
        </w:tc>
      </w:tr>
      <w:tr w:rsidR="006708F9" w:rsidRPr="005D440B" w:rsidTr="006708F9">
        <w:trPr>
          <w:trHeight w:hRule="exact" w:val="5160"/>
        </w:trPr>
        <w:tc>
          <w:tcPr>
            <w:tcW w:w="1720" w:type="dxa"/>
            <w:tcBorders>
              <w:bottom w:val="single" w:sz="12" w:space="0" w:color="auto"/>
            </w:tcBorders>
          </w:tcPr>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２</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３</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３の２</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４</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５</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６</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７</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８</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９</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１０</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１１</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１２</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１３</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１４</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１５</w:t>
            </w:r>
          </w:p>
        </w:tc>
        <w:tc>
          <w:tcPr>
            <w:tcW w:w="1399" w:type="dxa"/>
            <w:tcBorders>
              <w:bottom w:val="single" w:sz="12" w:space="0" w:color="auto"/>
            </w:tcBorders>
          </w:tcPr>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該当する</w:t>
            </w:r>
          </w:p>
        </w:tc>
        <w:tc>
          <w:tcPr>
            <w:tcW w:w="1559" w:type="dxa"/>
            <w:tcBorders>
              <w:bottom w:val="single" w:sz="12" w:space="0" w:color="auto"/>
            </w:tcBorders>
          </w:tcPr>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p w:rsidR="006708F9" w:rsidRPr="005D440B" w:rsidRDefault="006708F9" w:rsidP="00E94ABB">
            <w:pPr>
              <w:spacing w:line="320" w:lineRule="exact"/>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該当しない</w:t>
            </w:r>
          </w:p>
        </w:tc>
      </w:tr>
      <w:tr w:rsidR="006708F9" w:rsidRPr="005D440B" w:rsidTr="006708F9">
        <w:trPr>
          <w:trHeight w:hRule="exact" w:val="905"/>
        </w:trPr>
        <w:tc>
          <w:tcPr>
            <w:tcW w:w="1720" w:type="dxa"/>
            <w:tcBorders>
              <w:top w:val="single" w:sz="12" w:space="0" w:color="auto"/>
              <w:left w:val="nil"/>
              <w:bottom w:val="nil"/>
            </w:tcBorders>
          </w:tcPr>
          <w:p w:rsidR="006708F9" w:rsidRPr="005D440B" w:rsidRDefault="006708F9" w:rsidP="00E94ABB">
            <w:pPr>
              <w:jc w:val="center"/>
              <w:rPr>
                <w:rFonts w:ascii="ＭＳ ゴシック" w:eastAsia="ＭＳ ゴシック" w:hAnsi="ＭＳ ゴシック"/>
                <w:sz w:val="21"/>
                <w:szCs w:val="21"/>
              </w:rPr>
            </w:pPr>
          </w:p>
        </w:tc>
        <w:tc>
          <w:tcPr>
            <w:tcW w:w="1399" w:type="dxa"/>
            <w:tcBorders>
              <w:top w:val="single" w:sz="12" w:space="0" w:color="auto"/>
              <w:bottom w:val="single" w:sz="6" w:space="0" w:color="auto"/>
            </w:tcBorders>
          </w:tcPr>
          <w:p w:rsidR="006708F9" w:rsidRPr="005D440B" w:rsidRDefault="006708F9" w:rsidP="006708F9">
            <w:pPr>
              <w:spacing w:line="280" w:lineRule="exact"/>
              <w:jc w:val="left"/>
              <w:rPr>
                <w:rFonts w:ascii="ＭＳ ゴシック" w:eastAsia="ＭＳ ゴシック" w:hAnsi="ＭＳ ゴシック"/>
                <w:sz w:val="18"/>
                <w:szCs w:val="18"/>
              </w:rPr>
            </w:pPr>
            <w:r w:rsidRPr="005D440B">
              <w:rPr>
                <w:rFonts w:ascii="ＭＳ ゴシック" w:eastAsia="ＭＳ ゴシック" w:hAnsi="ＭＳ ゴシック" w:hint="eastAsia"/>
                <w:sz w:val="18"/>
                <w:szCs w:val="18"/>
              </w:rPr>
              <w:t>「該当する」欄が１か所以上ある</w:t>
            </w:r>
          </w:p>
        </w:tc>
        <w:tc>
          <w:tcPr>
            <w:tcW w:w="1559" w:type="dxa"/>
            <w:tcBorders>
              <w:top w:val="single" w:sz="12" w:space="0" w:color="auto"/>
              <w:bottom w:val="single" w:sz="6" w:space="0" w:color="auto"/>
              <w:right w:val="single" w:sz="6" w:space="0" w:color="auto"/>
            </w:tcBorders>
          </w:tcPr>
          <w:p w:rsidR="006708F9" w:rsidRPr="005D440B" w:rsidRDefault="006708F9" w:rsidP="00E94ABB">
            <w:pPr>
              <w:spacing w:line="280" w:lineRule="exact"/>
              <w:jc w:val="left"/>
              <w:rPr>
                <w:rFonts w:ascii="ＭＳ ゴシック" w:eastAsia="ＭＳ ゴシック" w:hAnsi="ＭＳ ゴシック"/>
                <w:sz w:val="18"/>
                <w:szCs w:val="18"/>
              </w:rPr>
            </w:pPr>
            <w:r w:rsidRPr="005D440B">
              <w:rPr>
                <w:rFonts w:ascii="ＭＳ ゴシック" w:eastAsia="ＭＳ ゴシック" w:hAnsi="ＭＳ ゴシック"/>
                <w:noProof/>
                <w:sz w:val="18"/>
                <w:szCs w:val="18"/>
              </w:rPr>
              <mc:AlternateContent>
                <mc:Choice Requires="wpg">
                  <w:drawing>
                    <wp:anchor distT="0" distB="0" distL="114300" distR="114300" simplePos="0" relativeHeight="251660288" behindDoc="0" locked="0" layoutInCell="1" allowOverlap="1">
                      <wp:simplePos x="0" y="0"/>
                      <wp:positionH relativeFrom="column">
                        <wp:posOffset>922188</wp:posOffset>
                      </wp:positionH>
                      <wp:positionV relativeFrom="paragraph">
                        <wp:posOffset>191063</wp:posOffset>
                      </wp:positionV>
                      <wp:extent cx="2260120" cy="810883"/>
                      <wp:effectExtent l="0" t="0" r="83185" b="6604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120" cy="810883"/>
                                <a:chOff x="7791" y="11574"/>
                                <a:chExt cx="2286" cy="1080"/>
                              </a:xfrm>
                            </wpg:grpSpPr>
                            <wps:wsp>
                              <wps:cNvPr id="17" name="Line 4"/>
                              <wps:cNvCnPr>
                                <a:cxnSpLocks noChangeShapeType="1"/>
                              </wps:cNvCnPr>
                              <wps:spPr bwMode="auto">
                                <a:xfrm>
                                  <a:off x="7791" y="11575"/>
                                  <a:ext cx="2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077" y="11574"/>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F0A606" id="グループ化 16" o:spid="_x0000_s1026" style="position:absolute;left:0;text-align:left;margin-left:72.6pt;margin-top:15.05pt;width:177.95pt;height:63.85pt;z-index:251660288" coordorigin="7791,11574" coordsize="2286,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">
                      <v:line id="Line 4" o:spid="_x0000_s1027" style="position:absolute;visibility:visible;mso-wrap-style:square" from="7791,11575" to="10064,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 o:spid="_x0000_s1028" style="position:absolute;visibility:visible;mso-wrap-style:square" from="10077,11574" to="10077,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w:pict>
                </mc:Fallback>
              </mc:AlternateContent>
            </w:r>
            <w:r w:rsidRPr="005D440B">
              <w:rPr>
                <w:rFonts w:ascii="ＭＳ ゴシック" w:eastAsia="ＭＳ ゴシック" w:hAnsi="ＭＳ ゴシック" w:hint="eastAsia"/>
                <w:sz w:val="18"/>
                <w:szCs w:val="18"/>
              </w:rPr>
              <w:t>すべて「該当しない」欄のみ</w:t>
            </w:r>
          </w:p>
        </w:tc>
      </w:tr>
    </w:tbl>
    <w:p w:rsidR="006708F9" w:rsidRPr="005D440B" w:rsidRDefault="006708F9" w:rsidP="006708F9">
      <w:pPr>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g">
            <w:drawing>
              <wp:anchor distT="0" distB="0" distL="114300" distR="114300" simplePos="0" relativeHeight="251661312" behindDoc="0" locked="0" layoutInCell="1" allowOverlap="1">
                <wp:simplePos x="0" y="0"/>
                <wp:positionH relativeFrom="column">
                  <wp:posOffset>1496683</wp:posOffset>
                </wp:positionH>
                <wp:positionV relativeFrom="paragraph">
                  <wp:posOffset>11382</wp:posOffset>
                </wp:positionV>
                <wp:extent cx="3079630" cy="452755"/>
                <wp:effectExtent l="0" t="0" r="83185" b="6159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630" cy="452755"/>
                          <a:chOff x="4326" y="12115"/>
                          <a:chExt cx="4788" cy="539"/>
                        </a:xfrm>
                      </wpg:grpSpPr>
                      <wps:wsp>
                        <wps:cNvPr id="13" name="Line 7"/>
                        <wps:cNvCnPr>
                          <a:cxnSpLocks noChangeShapeType="1"/>
                        </wps:cNvCnPr>
                        <wps:spPr bwMode="auto">
                          <a:xfrm>
                            <a:off x="4326" y="1211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4352" y="12474"/>
                            <a:ext cx="47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9114" y="1247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80F68A" id="グループ化 12" o:spid="_x0000_s1026" style="position:absolute;left:0;text-align:left;margin-left:117.85pt;margin-top:.9pt;width:242.5pt;height:35.65pt;z-index:251661312" coordorigin="4326,12115" coordsize="478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">
                <v:line id="Line 7" o:spid="_x0000_s1027" style="position:absolute;visibility:visible;mso-wrap-style:square" from="4326,12115" to="4326,1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8" o:spid="_x0000_s1028" style="position:absolute;visibility:visible;mso-wrap-style:square" from="4352,12474" to="9114,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9" o:spid="_x0000_s1029" style="position:absolute;visibility:visible;mso-wrap-style:square" from="9114,12474" to="9114,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group>
            </w:pict>
          </mc:Fallback>
        </mc:AlternateContent>
      </w:r>
    </w:p>
    <w:p w:rsidR="006708F9" w:rsidRPr="005D440B" w:rsidRDefault="006708F9" w:rsidP="006708F9">
      <w:pPr>
        <w:rPr>
          <w:rFonts w:ascii="ＭＳ ゴシック" w:eastAsia="ＭＳ ゴシック" w:hAnsi="ＭＳ ゴシック"/>
          <w:sz w:val="21"/>
          <w:szCs w:val="21"/>
        </w:rPr>
      </w:pPr>
    </w:p>
    <w:p w:rsidR="006708F9" w:rsidRPr="005D440B" w:rsidRDefault="006708F9" w:rsidP="006708F9">
      <w:pPr>
        <w:spacing w:after="120"/>
        <w:ind w:firstLineChars="100" w:firstLine="21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本件技術は、以上のとおり外国為替令別表（第１６項を除く。）に該当（します・しません）。</w:t>
      </w:r>
    </w:p>
    <w:p w:rsidR="006708F9" w:rsidRPr="005D440B" w:rsidRDefault="006708F9" w:rsidP="006708F9">
      <w:pPr>
        <w:ind w:firstLineChars="100" w:firstLine="210"/>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w:t>
      </w:r>
      <w:r w:rsidRPr="001973B4">
        <w:rPr>
          <w:rFonts w:ascii="ＭＳ ゴシック" w:eastAsia="ＭＳ ゴシック" w:hAnsi="ＭＳ ゴシック" w:hint="eastAsia"/>
          <w:sz w:val="21"/>
          <w:szCs w:val="21"/>
        </w:rPr>
        <w:t>令の関係項、貨物等省令の関係箇所及び解釈通達の関係箇所と、本件技術の仕様（性能）との対応関係は、別紙「対比表」のと</w:t>
      </w:r>
      <w:r w:rsidRPr="005D440B">
        <w:rPr>
          <w:rFonts w:ascii="ＭＳ ゴシック" w:eastAsia="ＭＳ ゴシック" w:hAnsi="ＭＳ ゴシック" w:hint="eastAsia"/>
          <w:sz w:val="21"/>
          <w:szCs w:val="21"/>
        </w:rPr>
        <w:t>おりです。</w:t>
      </w:r>
    </w:p>
    <w:p w:rsidR="006708F9" w:rsidRPr="00CA6ADC" w:rsidRDefault="006708F9" w:rsidP="006708F9">
      <w:pPr>
        <w:spacing w:afterLines="50" w:after="180"/>
        <w:ind w:rightChars="66" w:right="158"/>
        <w:rPr>
          <w:rFonts w:ascii="ＭＳ ゴシック" w:eastAsia="ＭＳ ゴシック" w:hAnsi="ＭＳ ゴシック"/>
          <w:sz w:val="22"/>
          <w:szCs w:val="22"/>
          <w:u w:val="single"/>
        </w:rPr>
      </w:pPr>
      <w:r w:rsidRPr="00526852">
        <w:rPr>
          <w:rFonts w:ascii="ＭＳ ゴシック" w:eastAsia="ＭＳ ゴシック" w:hAnsi="ＭＳ ゴシック"/>
          <w:sz w:val="22"/>
          <w:szCs w:val="22"/>
        </w:rPr>
        <w:br w:type="page"/>
      </w:r>
      <w:r w:rsidRPr="00CA6ADC">
        <w:rPr>
          <w:rFonts w:ascii="ＭＳ ゴシック" w:eastAsia="ＭＳ ゴシック" w:hAnsi="ＭＳ ゴシック" w:hint="eastAsia"/>
          <w:b/>
          <w:kern w:val="0"/>
          <w:sz w:val="28"/>
          <w:szCs w:val="28"/>
          <w:u w:val="single"/>
        </w:rPr>
        <w:lastRenderedPageBreak/>
        <w:t>（該</w:t>
      </w:r>
      <w:r>
        <w:rPr>
          <w:rFonts w:ascii="ＭＳ ゴシック" w:eastAsia="ＭＳ ゴシック" w:hAnsi="ＭＳ ゴシック" w:hint="eastAsia"/>
          <w:b/>
          <w:kern w:val="0"/>
          <w:sz w:val="28"/>
          <w:szCs w:val="28"/>
          <w:u w:val="single"/>
        </w:rPr>
        <w:t>非</w:t>
      </w:r>
      <w:r w:rsidRPr="00CA6ADC">
        <w:rPr>
          <w:rFonts w:ascii="ＭＳ ゴシック" w:eastAsia="ＭＳ ゴシック" w:hAnsi="ＭＳ ゴシック" w:hint="eastAsia"/>
          <w:b/>
          <w:kern w:val="0"/>
          <w:sz w:val="28"/>
          <w:szCs w:val="28"/>
          <w:u w:val="single"/>
        </w:rPr>
        <w:t>判定票別紙）外国為替令の関連項目等と技術の仕様（性能）の対比表</w:t>
      </w:r>
    </w:p>
    <w:p w:rsidR="006708F9" w:rsidRPr="00D62586" w:rsidRDefault="006708F9" w:rsidP="006708F9">
      <w:pPr>
        <w:ind w:rightChars="66" w:right="158" w:firstLineChars="100" w:firstLine="210"/>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該</w:t>
      </w:r>
      <w:r>
        <w:rPr>
          <w:rFonts w:ascii="ＭＳ ゴシック" w:eastAsia="ＭＳ ゴシック" w:hAnsi="ＭＳ ゴシック" w:hint="eastAsia"/>
          <w:sz w:val="21"/>
          <w:szCs w:val="21"/>
        </w:rPr>
        <w:t>非</w:t>
      </w:r>
      <w:r w:rsidRPr="00900BA7">
        <w:rPr>
          <w:rFonts w:ascii="ＭＳ ゴシック" w:eastAsia="ＭＳ ゴシック" w:hAnsi="ＭＳ ゴシック" w:hint="eastAsia"/>
          <w:sz w:val="21"/>
          <w:szCs w:val="21"/>
        </w:rPr>
        <w:t>判定票に記載した技術／貨物に係る、外国為替令の関係項、貨物等省令の関係箇所及び解釈通達の関</w:t>
      </w:r>
      <w:r w:rsidRPr="00D62586">
        <w:rPr>
          <w:rFonts w:ascii="ＭＳ ゴシック" w:eastAsia="ＭＳ ゴシック" w:hAnsi="ＭＳ ゴシック" w:hint="eastAsia"/>
          <w:sz w:val="21"/>
          <w:szCs w:val="21"/>
        </w:rPr>
        <w:t>係箇所と、本件技術の仕様（性能）との対応関係は、以下のとおりです。</w:t>
      </w:r>
    </w:p>
    <w:p w:rsidR="006708F9" w:rsidRPr="00CA6ADC" w:rsidRDefault="006708F9" w:rsidP="006708F9">
      <w:pPr>
        <w:spacing w:line="240" w:lineRule="exact"/>
        <w:rPr>
          <w:rFonts w:ascii="ＭＳ ゴシック" w:eastAsia="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992"/>
        <w:gridCol w:w="1559"/>
        <w:gridCol w:w="1701"/>
        <w:gridCol w:w="284"/>
        <w:gridCol w:w="2268"/>
      </w:tblGrid>
      <w:tr w:rsidR="006708F9" w:rsidRPr="005D440B" w:rsidTr="00E94ABB">
        <w:tc>
          <w:tcPr>
            <w:tcW w:w="2552" w:type="dxa"/>
            <w:gridSpan w:val="2"/>
            <w:tcBorders>
              <w:top w:val="single" w:sz="12" w:space="0" w:color="auto"/>
              <w:left w:val="single" w:sz="12" w:space="0" w:color="auto"/>
              <w:right w:val="single" w:sz="12" w:space="0" w:color="auto"/>
            </w:tcBorders>
          </w:tcPr>
          <w:p w:rsidR="006708F9" w:rsidRPr="005D440B" w:rsidRDefault="006708F9" w:rsidP="00E94ABB">
            <w:pPr>
              <w:ind w:leftChars="-64" w:left="1" w:rightChars="-48" w:right="-115" w:hangingChars="74" w:hanging="155"/>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外国為替令別表</w:t>
            </w:r>
          </w:p>
        </w:tc>
        <w:tc>
          <w:tcPr>
            <w:tcW w:w="2551" w:type="dxa"/>
            <w:gridSpan w:val="2"/>
            <w:tcBorders>
              <w:top w:val="single" w:sz="12" w:space="0" w:color="auto"/>
              <w:left w:val="single" w:sz="12" w:space="0" w:color="auto"/>
              <w:righ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貨物等省令</w:t>
            </w:r>
          </w:p>
        </w:tc>
        <w:tc>
          <w:tcPr>
            <w:tcW w:w="1701" w:type="dxa"/>
            <w:vMerge w:val="restart"/>
            <w:tcBorders>
              <w:top w:val="single" w:sz="12" w:space="0" w:color="auto"/>
              <w:left w:val="single" w:sz="12" w:space="0" w:color="auto"/>
              <w:right w:val="single" w:sz="12" w:space="0" w:color="auto"/>
            </w:tcBorders>
          </w:tcPr>
          <w:p w:rsidR="006708F9" w:rsidRPr="005D440B" w:rsidRDefault="006708F9" w:rsidP="00E94ABB">
            <w:pPr>
              <w:ind w:leftChars="-48" w:left="-113" w:rightChars="-48" w:right="-115" w:hangingChars="1" w:hanging="2"/>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解釈通達</w:t>
            </w:r>
          </w:p>
        </w:tc>
        <w:tc>
          <w:tcPr>
            <w:tcW w:w="284" w:type="dxa"/>
            <w:vMerge w:val="restart"/>
            <w:tcBorders>
              <w:top w:val="nil"/>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268" w:type="dxa"/>
            <w:vMerge w:val="restart"/>
            <w:tcBorders>
              <w:top w:val="single" w:sz="12" w:space="0" w:color="auto"/>
              <w:left w:val="single" w:sz="12" w:space="0" w:color="auto"/>
              <w:right w:val="single" w:sz="12" w:space="0" w:color="auto"/>
            </w:tcBorders>
          </w:tcPr>
          <w:p w:rsidR="006708F9" w:rsidRPr="005D440B" w:rsidRDefault="006708F9" w:rsidP="00E94ABB">
            <w:pPr>
              <w:ind w:leftChars="-48" w:left="-115" w:rightChars="-70" w:right="-16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技術の仕様</w:t>
            </w:r>
          </w:p>
          <w:p w:rsidR="006708F9" w:rsidRPr="005D440B" w:rsidRDefault="006708F9" w:rsidP="00E94ABB">
            <w:pPr>
              <w:jc w:val="center"/>
              <w:rPr>
                <w:rFonts w:ascii="ＭＳ ゴシック" w:eastAsia="ＭＳ ゴシック" w:hAnsi="ＭＳ ゴシック"/>
                <w:sz w:val="21"/>
                <w:szCs w:val="21"/>
              </w:rPr>
            </w:pPr>
          </w:p>
        </w:tc>
      </w:tr>
      <w:tr w:rsidR="006708F9" w:rsidRPr="005D440B" w:rsidTr="00E94ABB">
        <w:tc>
          <w:tcPr>
            <w:tcW w:w="993" w:type="dxa"/>
            <w:tcBorders>
              <w:left w:val="single" w:sz="12" w:space="0" w:color="auto"/>
            </w:tcBorders>
          </w:tcPr>
          <w:p w:rsidR="006708F9" w:rsidRPr="005D440B" w:rsidRDefault="006708F9" w:rsidP="00E94ABB">
            <w:pPr>
              <w:ind w:leftChars="-65" w:left="-156" w:rightChars="-66" w:right="-15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番</w:t>
            </w:r>
          </w:p>
        </w:tc>
        <w:tc>
          <w:tcPr>
            <w:tcW w:w="1559" w:type="dxa"/>
            <w:tcBorders>
              <w:righ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目</w:t>
            </w:r>
          </w:p>
        </w:tc>
        <w:tc>
          <w:tcPr>
            <w:tcW w:w="992" w:type="dxa"/>
            <w:tcBorders>
              <w:lef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番</w:t>
            </w:r>
          </w:p>
        </w:tc>
        <w:tc>
          <w:tcPr>
            <w:tcW w:w="1559" w:type="dxa"/>
            <w:tcBorders>
              <w:right w:val="single" w:sz="12" w:space="0" w:color="auto"/>
            </w:tcBorders>
          </w:tcPr>
          <w:p w:rsidR="006708F9" w:rsidRPr="005D440B" w:rsidRDefault="006708F9" w:rsidP="00E94ABB">
            <w:pPr>
              <w:tabs>
                <w:tab w:val="left" w:pos="2052"/>
              </w:tabs>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目</w:t>
            </w:r>
          </w:p>
        </w:tc>
        <w:tc>
          <w:tcPr>
            <w:tcW w:w="1701" w:type="dxa"/>
            <w:vMerge/>
            <w:tcBorders>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84" w:type="dxa"/>
            <w:vMerge/>
            <w:tcBorders>
              <w:left w:val="single" w:sz="12" w:space="0" w:color="auto"/>
              <w:bottom w:val="nil"/>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268" w:type="dxa"/>
            <w:vMerge/>
            <w:tcBorders>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r>
      <w:tr w:rsidR="006708F9" w:rsidRPr="005D440B" w:rsidTr="00E94ABB">
        <w:trPr>
          <w:trHeight w:val="6389"/>
        </w:trPr>
        <w:tc>
          <w:tcPr>
            <w:tcW w:w="993" w:type="dxa"/>
            <w:tcBorders>
              <w:left w:val="single" w:sz="12" w:space="0" w:color="auto"/>
              <w:bottom w:val="single" w:sz="12" w:space="0" w:color="auto"/>
            </w:tcBorders>
          </w:tcPr>
          <w:p w:rsidR="006708F9" w:rsidRPr="005D440B" w:rsidRDefault="006708F9" w:rsidP="00E94ABB">
            <w:pPr>
              <w:rPr>
                <w:rFonts w:ascii="ＭＳ ゴシック" w:eastAsia="ＭＳ ゴシック" w:hAnsi="ＭＳ ゴシック"/>
                <w:sz w:val="21"/>
                <w:szCs w:val="21"/>
              </w:rPr>
            </w:pPr>
          </w:p>
        </w:tc>
        <w:tc>
          <w:tcPr>
            <w:tcW w:w="1559" w:type="dxa"/>
            <w:tcBorders>
              <w:bottom w:val="single" w:sz="12" w:space="0" w:color="auto"/>
              <w:right w:val="single" w:sz="12" w:space="0" w:color="auto"/>
            </w:tcBorders>
          </w:tcPr>
          <w:p w:rsidR="006708F9" w:rsidRPr="005D440B" w:rsidRDefault="006708F9" w:rsidP="00E94ABB">
            <w:pPr>
              <w:widowControl/>
              <w:spacing w:before="100" w:beforeAutospacing="1" w:after="100" w:afterAutospacing="1"/>
              <w:jc w:val="left"/>
              <w:rPr>
                <w:rFonts w:ascii="ＭＳ ゴシック" w:eastAsia="ＭＳ ゴシック" w:hAnsi="ＭＳ ゴシック" w:cs="ＭＳ Ｐゴシック"/>
                <w:kern w:val="0"/>
                <w:sz w:val="21"/>
                <w:szCs w:val="21"/>
              </w:rPr>
            </w:pPr>
          </w:p>
        </w:tc>
        <w:tc>
          <w:tcPr>
            <w:tcW w:w="992" w:type="dxa"/>
            <w:tcBorders>
              <w:left w:val="single" w:sz="12" w:space="0" w:color="auto"/>
              <w:bottom w:val="single" w:sz="12" w:space="0" w:color="auto"/>
            </w:tcBorders>
          </w:tcPr>
          <w:p w:rsidR="006708F9" w:rsidRPr="005D440B" w:rsidRDefault="006708F9" w:rsidP="00E94ABB">
            <w:pPr>
              <w:widowControl/>
              <w:spacing w:before="100" w:beforeAutospacing="1" w:after="100" w:afterAutospacing="1"/>
              <w:rPr>
                <w:rFonts w:ascii="ＭＳ ゴシック" w:eastAsia="ＭＳ ゴシック" w:hAnsi="ＭＳ ゴシック" w:cs="ＭＳ Ｐゴシック"/>
                <w:kern w:val="0"/>
                <w:sz w:val="21"/>
                <w:szCs w:val="21"/>
              </w:rPr>
            </w:pPr>
          </w:p>
        </w:tc>
        <w:tc>
          <w:tcPr>
            <w:tcW w:w="1559" w:type="dxa"/>
            <w:tcBorders>
              <w:bottom w:val="single" w:sz="12" w:space="0" w:color="auto"/>
              <w:right w:val="single" w:sz="12" w:space="0" w:color="auto"/>
            </w:tcBorders>
          </w:tcPr>
          <w:p w:rsidR="006708F9" w:rsidRPr="005D440B" w:rsidRDefault="006708F9" w:rsidP="00E94ABB">
            <w:pPr>
              <w:ind w:rightChars="14" w:right="34"/>
              <w:rPr>
                <w:rFonts w:ascii="ＭＳ ゴシック" w:eastAsia="ＭＳ ゴシック" w:hAnsi="ＭＳ ゴシック"/>
                <w:sz w:val="21"/>
                <w:szCs w:val="21"/>
              </w:rPr>
            </w:pPr>
          </w:p>
        </w:tc>
        <w:tc>
          <w:tcPr>
            <w:tcW w:w="1701" w:type="dxa"/>
            <w:tcBorders>
              <w:left w:val="single" w:sz="12" w:space="0" w:color="auto"/>
              <w:bottom w:val="single" w:sz="12" w:space="0" w:color="auto"/>
              <w:right w:val="single" w:sz="12" w:space="0" w:color="auto"/>
            </w:tcBorders>
          </w:tcPr>
          <w:p w:rsidR="006708F9" w:rsidRPr="005D440B" w:rsidRDefault="006708F9" w:rsidP="00E94ABB">
            <w:pPr>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g">
                  <w:drawing>
                    <wp:anchor distT="0" distB="0" distL="114300" distR="114300" simplePos="0" relativeHeight="251666432" behindDoc="0" locked="0" layoutInCell="1" allowOverlap="1">
                      <wp:simplePos x="0" y="0"/>
                      <wp:positionH relativeFrom="column">
                        <wp:posOffset>984250</wp:posOffset>
                      </wp:positionH>
                      <wp:positionV relativeFrom="paragraph">
                        <wp:posOffset>10173970</wp:posOffset>
                      </wp:positionV>
                      <wp:extent cx="1279525" cy="5808980"/>
                      <wp:effectExtent l="12065" t="9525" r="13335" b="1079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5808980"/>
                                <a:chOff x="8359" y="6174"/>
                                <a:chExt cx="2015" cy="9148"/>
                              </a:xfrm>
                            </wpg:grpSpPr>
                            <wps:wsp>
                              <wps:cNvPr id="9" name="Text Box 15"/>
                              <wps:cNvSpPr txBox="1">
                                <a:spLocks noChangeArrowheads="1"/>
                              </wps:cNvSpPr>
                              <wps:spPr bwMode="auto">
                                <a:xfrm>
                                  <a:off x="8362" y="6174"/>
                                  <a:ext cx="2012" cy="1305"/>
                                </a:xfrm>
                                <a:prstGeom prst="rect">
                                  <a:avLst/>
                                </a:prstGeom>
                                <a:solidFill>
                                  <a:srgbClr val="FFFFFF"/>
                                </a:solidFill>
                                <a:ln w="9525">
                                  <a:solidFill>
                                    <a:srgbClr val="000000"/>
                                  </a:solidFill>
                                  <a:miter lim="800000"/>
                                  <a:headEnd/>
                                  <a:tailEnd/>
                                </a:ln>
                              </wps:spPr>
                              <wps:txbx>
                                <w:txbxContent>
                                  <w:p w:rsidR="006708F9" w:rsidRPr="006F0EDA" w:rsidRDefault="006708F9" w:rsidP="006708F9">
                                    <w:pPr>
                                      <w:ind w:rightChars="66" w:right="158"/>
                                      <w:jc w:val="center"/>
                                      <w:rPr>
                                        <w:sz w:val="22"/>
                                        <w:szCs w:val="22"/>
                                      </w:rPr>
                                    </w:pPr>
                                    <w:r w:rsidRPr="006F0EDA">
                                      <w:rPr>
                                        <w:rFonts w:hint="eastAsia"/>
                                        <w:sz w:val="22"/>
                                        <w:szCs w:val="22"/>
                                      </w:rPr>
                                      <w:t>型及び等級</w:t>
                                    </w:r>
                                  </w:p>
                                  <w:p w:rsidR="006708F9" w:rsidRPr="006F0EDA" w:rsidRDefault="006708F9" w:rsidP="006708F9">
                                    <w:pPr>
                                      <w:ind w:rightChars="66" w:right="158"/>
                                      <w:jc w:val="center"/>
                                      <w:rPr>
                                        <w:sz w:val="22"/>
                                        <w:szCs w:val="22"/>
                                      </w:rPr>
                                    </w:pPr>
                                  </w:p>
                                  <w:p w:rsidR="006708F9" w:rsidRDefault="006708F9" w:rsidP="006708F9">
                                    <w:pPr>
                                      <w:jc w:val="center"/>
                                    </w:pPr>
                                    <w:r w:rsidRPr="006F0EDA">
                                      <w:rPr>
                                        <w:rFonts w:hint="eastAsia"/>
                                        <w:sz w:val="22"/>
                                        <w:szCs w:val="22"/>
                                      </w:rPr>
                                      <w:t>ABC/DEFG</w:t>
                                    </w:r>
                                  </w:p>
                                </w:txbxContent>
                              </wps:txbx>
                              <wps:bodyPr rot="0" vert="horz" wrap="square" lIns="74295" tIns="8890" rIns="74295" bIns="8890" anchor="t" anchorCtr="0" upright="1">
                                <a:noAutofit/>
                              </wps:bodyPr>
                            </wps:wsp>
                            <wps:wsp>
                              <wps:cNvPr id="10" name="Text Box 16"/>
                              <wps:cNvSpPr txBox="1">
                                <a:spLocks noChangeArrowheads="1"/>
                              </wps:cNvSpPr>
                              <wps:spPr bwMode="auto">
                                <a:xfrm>
                                  <a:off x="8359" y="7479"/>
                                  <a:ext cx="2012" cy="7843"/>
                                </a:xfrm>
                                <a:prstGeom prst="rect">
                                  <a:avLst/>
                                </a:prstGeom>
                                <a:solidFill>
                                  <a:srgbClr val="FFFFFF"/>
                                </a:solidFill>
                                <a:ln w="9525">
                                  <a:solidFill>
                                    <a:srgbClr val="000000"/>
                                  </a:solidFill>
                                  <a:miter lim="800000"/>
                                  <a:headEnd/>
                                  <a:tailEnd/>
                                </a:ln>
                              </wps:spPr>
                              <wps:txbx>
                                <w:txbxContent>
                                  <w:p w:rsidR="006708F9" w:rsidRPr="006F0EDA" w:rsidRDefault="006708F9" w:rsidP="006708F9">
                                    <w:pPr>
                                      <w:ind w:rightChars="66" w:right="158"/>
                                      <w:rPr>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8" o:spid="_x0000_s1028" style="position:absolute;left:0;text-align:left;margin-left:77.5pt;margin-top:801.1pt;width:100.75pt;height:457.4pt;z-index:251666432" coordorigin="8359,6174" coordsize="2015,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">
                      <v:shape id="Text Box 15" o:spid="_x0000_s1029" type="#_x0000_t202" style="position:absolute;left:8362;top:6174;width:2012;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6708F9" w:rsidRPr="006F0EDA" w:rsidRDefault="006708F9" w:rsidP="006708F9">
                              <w:pPr>
                                <w:ind w:rightChars="66" w:right="158"/>
                                <w:jc w:val="center"/>
                                <w:rPr>
                                  <w:rFonts w:hint="eastAsia"/>
                                  <w:sz w:val="22"/>
                                  <w:szCs w:val="22"/>
                                </w:rPr>
                              </w:pPr>
                              <w:r w:rsidRPr="006F0EDA">
                                <w:rPr>
                                  <w:rFonts w:hint="eastAsia"/>
                                  <w:sz w:val="22"/>
                                  <w:szCs w:val="22"/>
                                </w:rPr>
                                <w:t>型及び等級</w:t>
                              </w:r>
                            </w:p>
                            <w:p w:rsidR="006708F9" w:rsidRPr="006F0EDA" w:rsidRDefault="006708F9" w:rsidP="006708F9">
                              <w:pPr>
                                <w:ind w:rightChars="66" w:right="158"/>
                                <w:jc w:val="center"/>
                                <w:rPr>
                                  <w:rFonts w:hint="eastAsia"/>
                                  <w:sz w:val="22"/>
                                  <w:szCs w:val="22"/>
                                </w:rPr>
                              </w:pPr>
                            </w:p>
                            <w:p w:rsidR="006708F9" w:rsidRDefault="006708F9" w:rsidP="006708F9">
                              <w:pPr>
                                <w:jc w:val="center"/>
                              </w:pPr>
                              <w:r w:rsidRPr="006F0EDA">
                                <w:rPr>
                                  <w:rFonts w:hint="eastAsia"/>
                                  <w:sz w:val="22"/>
                                  <w:szCs w:val="22"/>
                                </w:rPr>
                                <w:t>ABC/DEFG</w:t>
                              </w:r>
                            </w:p>
                          </w:txbxContent>
                        </v:textbox>
                      </v:shape>
                      <v:shape id="Text Box 16" o:spid="_x0000_s1030" type="#_x0000_t202" style="position:absolute;left:8359;top:7479;width:2012;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VPa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vfwiA+jVAwAA//8DAFBLAQItABQABgAIAAAAIQDb4fbL7gAAAIUBAAATAAAAAAAAAAAA&#10;AAAAAAAAAABbQ29udGVudF9UeXBlc10ueG1sUEsBAi0AFAAGAAgAAAAhAFr0LFu/AAAAFQEAAAsA&#10;AAAAAAAAAAAAAAAAHwEAAF9yZWxzLy5yZWxzUEsBAi0AFAAGAAgAAAAhAIjdU9rEAAAA2wAAAA8A&#10;AAAAAAAAAAAAAAAABwIAAGRycy9kb3ducmV2LnhtbFBLBQYAAAAAAwADALcAAAD4AgAAAAA=&#10;">
                        <v:textbox inset="5.85pt,.7pt,5.85pt,.7pt">
                          <w:txbxContent>
                            <w:p w:rsidR="006708F9" w:rsidRPr="006F0EDA" w:rsidRDefault="006708F9" w:rsidP="006708F9">
                              <w:pPr>
                                <w:ind w:rightChars="66" w:right="158"/>
                                <w:rPr>
                                  <w:rFonts w:hint="eastAsia"/>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v:textbox>
                      </v:shape>
                    </v:group>
                  </w:pict>
                </mc:Fallback>
              </mc:AlternateContent>
            </w:r>
          </w:p>
        </w:tc>
        <w:tc>
          <w:tcPr>
            <w:tcW w:w="284" w:type="dxa"/>
            <w:tcBorders>
              <w:top w:val="nil"/>
              <w:left w:val="single" w:sz="12" w:space="0" w:color="auto"/>
              <w:bottom w:val="nil"/>
              <w:right w:val="single" w:sz="12" w:space="0" w:color="auto"/>
            </w:tcBorders>
          </w:tcPr>
          <w:p w:rsidR="006708F9" w:rsidRPr="005D440B" w:rsidRDefault="006708F9" w:rsidP="00E94ABB">
            <w:pPr>
              <w:ind w:rightChars="66" w:right="158"/>
              <w:rPr>
                <w:rFonts w:ascii="ＭＳ ゴシック" w:eastAsia="ＭＳ ゴシック" w:hAnsi="ＭＳ ゴシック"/>
                <w:sz w:val="21"/>
                <w:szCs w:val="21"/>
              </w:rPr>
            </w:pPr>
          </w:p>
        </w:tc>
        <w:tc>
          <w:tcPr>
            <w:tcW w:w="2268" w:type="dxa"/>
            <w:tcBorders>
              <w:left w:val="single" w:sz="12" w:space="0" w:color="auto"/>
              <w:bottom w:val="single" w:sz="12" w:space="0" w:color="auto"/>
              <w:right w:val="single" w:sz="12" w:space="0" w:color="auto"/>
            </w:tcBorders>
          </w:tcPr>
          <w:p w:rsidR="006708F9" w:rsidRPr="005D440B" w:rsidRDefault="006708F9" w:rsidP="00E94ABB">
            <w:pPr>
              <w:rPr>
                <w:rFonts w:ascii="ＭＳ ゴシック" w:eastAsia="ＭＳ ゴシック" w:hAnsi="ＭＳ ゴシック"/>
                <w:sz w:val="21"/>
                <w:szCs w:val="21"/>
              </w:rPr>
            </w:pPr>
            <w:r w:rsidRPr="005D440B">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1391920</wp:posOffset>
                      </wp:positionV>
                      <wp:extent cx="1047750" cy="447675"/>
                      <wp:effectExtent l="0" t="0" r="127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8F9" w:rsidRPr="00B473E8" w:rsidRDefault="006708F9" w:rsidP="006708F9">
                                  <w:pPr>
                                    <w:spacing w:line="60" w:lineRule="auto"/>
                                    <w:rPr>
                                      <w:rFonts w:ascii="ＭＳ Ｐゴシック" w:eastAsia="ＭＳ Ｐゴシック" w:hAnsi="ＭＳ Ｐゴシック"/>
                                      <w:sz w:val="18"/>
                                      <w:szCs w:val="18"/>
                                    </w:rPr>
                                  </w:pPr>
                                  <w:r w:rsidRPr="00B473E8">
                                    <w:rPr>
                                      <w:rFonts w:ascii="ＭＳ Ｐゴシック" w:eastAsia="ＭＳ Ｐゴシック" w:hAnsi="ＭＳ Ｐゴシック" w:hint="eastAsia"/>
                                      <w:sz w:val="18"/>
                                      <w:szCs w:val="18"/>
                                    </w:rPr>
                                    <w:t>規定に対応する性能を記載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1" type="#_x0000_t202" style="position:absolute;left:0;text-align:left;margin-left:10.95pt;margin-top:109.6pt;width:8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" stroked="f">
                      <v:textbox inset="5.85pt,.7pt,5.85pt,.7pt">
                        <w:txbxContent>
                          <w:p w:rsidR="006708F9" w:rsidRPr="00B473E8" w:rsidRDefault="006708F9" w:rsidP="006708F9">
                            <w:pPr>
                              <w:spacing w:line="60" w:lineRule="auto"/>
                              <w:rPr>
                                <w:rFonts w:ascii="ＭＳ Ｐゴシック" w:eastAsia="ＭＳ Ｐゴシック" w:hAnsi="ＭＳ Ｐゴシック" w:hint="eastAsia"/>
                                <w:sz w:val="18"/>
                                <w:szCs w:val="18"/>
                              </w:rPr>
                            </w:pPr>
                            <w:r w:rsidRPr="00B473E8">
                              <w:rPr>
                                <w:rFonts w:ascii="ＭＳ Ｐゴシック" w:eastAsia="ＭＳ Ｐゴシック" w:hAnsi="ＭＳ Ｐゴシック" w:hint="eastAsia"/>
                                <w:sz w:val="18"/>
                                <w:szCs w:val="18"/>
                              </w:rPr>
                              <w:t>規定に対応する性能を記載</w:t>
                            </w:r>
                          </w:p>
                        </w:txbxContent>
                      </v:textbox>
                    </v:shape>
                  </w:pict>
                </mc:Fallback>
              </mc:AlternateContent>
            </w:r>
          </w:p>
        </w:tc>
      </w:tr>
    </w:tbl>
    <w:p w:rsidR="006708F9" w:rsidRPr="00CA6ADC" w:rsidRDefault="006708F9" w:rsidP="006708F9">
      <w:pPr>
        <w:ind w:rightChars="66" w:right="158"/>
        <w:rPr>
          <w:rFonts w:ascii="ＭＳ Ｐゴシック" w:eastAsia="ＭＳ Ｐゴシック" w:hAnsi="ＭＳ Ｐゴシック"/>
          <w:sz w:val="22"/>
          <w:szCs w:val="22"/>
        </w:rPr>
      </w:pPr>
      <w:r w:rsidRPr="00CA6ADC">
        <w:rPr>
          <w:rFonts w:ascii="ＭＳ Ｐゴシック" w:eastAsia="ＭＳ Ｐゴシック" w:hAnsi="ＭＳ Ｐ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2136775</wp:posOffset>
                </wp:positionH>
                <wp:positionV relativeFrom="paragraph">
                  <wp:posOffset>121920</wp:posOffset>
                </wp:positionV>
                <wp:extent cx="3797300" cy="263525"/>
                <wp:effectExtent l="8255" t="5715" r="1397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63525"/>
                        </a:xfrm>
                        <a:prstGeom prst="rect">
                          <a:avLst/>
                        </a:prstGeom>
                        <a:solidFill>
                          <a:srgbClr val="FFFFFF"/>
                        </a:solidFill>
                        <a:ln w="9525">
                          <a:solidFill>
                            <a:srgbClr val="000000"/>
                          </a:solidFill>
                          <a:miter lim="800000"/>
                          <a:headEnd/>
                          <a:tailEnd/>
                        </a:ln>
                      </wps:spPr>
                      <wps:txbx>
                        <w:txbxContent>
                          <w:p w:rsidR="006708F9" w:rsidRPr="00B761E7" w:rsidRDefault="006708F9" w:rsidP="006708F9">
                            <w:pPr>
                              <w:jc w:val="center"/>
                              <w:rPr>
                                <w:rFonts w:ascii="ＭＳ Ｐゴシック" w:eastAsia="ＭＳ Ｐゴシック" w:hAnsi="ＭＳ Ｐゴシック"/>
                              </w:rPr>
                            </w:pPr>
                            <w:r>
                              <w:rPr>
                                <w:rFonts w:ascii="ＭＳ Ｐゴシック" w:eastAsia="ＭＳ Ｐゴシック" w:hAnsi="ＭＳ Ｐゴシック" w:hint="eastAsia"/>
                              </w:rPr>
                              <w:t>技術の該非判定結果　　□</w:t>
                            </w:r>
                            <w:r w:rsidRPr="00B761E7">
                              <w:rPr>
                                <w:rFonts w:ascii="ＭＳ Ｐゴシック" w:eastAsia="ＭＳ Ｐゴシック" w:hAnsi="ＭＳ Ｐゴシック" w:hint="eastAsia"/>
                              </w:rPr>
                              <w:t xml:space="preserve"> 該当  □ 非該当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3" type="#_x0000_t202" style="position:absolute;left:0;text-align:left;margin-left:168.25pt;margin-top:9.6pt;width:299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">
                <v:textbox inset="5.85pt,.7pt,5.85pt,.7pt">
                  <w:txbxContent>
                    <w:p w:rsidR="006708F9" w:rsidRPr="00B761E7" w:rsidRDefault="006708F9" w:rsidP="006708F9">
                      <w:pPr>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技術の該非判定結果　　</w:t>
                      </w:r>
                      <w:r>
                        <w:rPr>
                          <w:rFonts w:ascii="ＭＳ Ｐゴシック" w:eastAsia="ＭＳ Ｐゴシック" w:hAnsi="ＭＳ Ｐゴシック" w:hint="eastAsia"/>
                        </w:rPr>
                        <w:t>□</w:t>
                      </w:r>
                      <w:r w:rsidRPr="00B761E7">
                        <w:rPr>
                          <w:rFonts w:ascii="ＭＳ Ｐゴシック" w:eastAsia="ＭＳ Ｐゴシック" w:hAnsi="ＭＳ Ｐゴシック" w:hint="eastAsia"/>
                        </w:rPr>
                        <w:t xml:space="preserve"> 該当  □ 非該当</w:t>
                      </w:r>
                    </w:p>
                  </w:txbxContent>
                </v:textbox>
              </v:shape>
            </w:pict>
          </mc:Fallback>
        </mc:AlternateContent>
      </w:r>
    </w:p>
    <w:p w:rsidR="006708F9" w:rsidRDefault="006708F9" w:rsidP="006708F9">
      <w:pPr>
        <w:ind w:rightChars="66" w:right="158"/>
        <w:rPr>
          <w:rFonts w:ascii="ＭＳ ゴシック" w:eastAsia="ＭＳ ゴシック" w:hAnsi="ＭＳ ゴシック"/>
          <w:sz w:val="22"/>
          <w:szCs w:val="22"/>
        </w:rPr>
      </w:pPr>
    </w:p>
    <w:p w:rsidR="006708F9" w:rsidRPr="00A371B5" w:rsidRDefault="006708F9" w:rsidP="006708F9">
      <w:pPr>
        <w:spacing w:before="120" w:line="240" w:lineRule="exact"/>
        <w:ind w:firstLineChars="100" w:firstLine="210"/>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※記述に当たっては、以下の事項を満たしてください。</w:t>
      </w:r>
    </w:p>
    <w:p w:rsidR="006708F9" w:rsidRPr="00A371B5" w:rsidRDefault="006708F9" w:rsidP="006708F9">
      <w:pPr>
        <w:spacing w:line="240" w:lineRule="exact"/>
        <w:ind w:leftChars="200" w:left="690" w:hangingChars="100" w:hanging="210"/>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・外国為替令別表の関係項、貨物等省令の関係箇所及び解釈通達の関係箇所については、それぞれが明確に分かるよう、該当部分を引用し、技術の仕様（性能）との対比を明らかにすること。</w:t>
      </w:r>
    </w:p>
    <w:p w:rsidR="006708F9" w:rsidRPr="00A371B5" w:rsidRDefault="006708F9" w:rsidP="006708F9">
      <w:pPr>
        <w:spacing w:line="240" w:lineRule="exact"/>
        <w:ind w:leftChars="200" w:left="690" w:hangingChars="100" w:hanging="210"/>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・特に、該当非該当に係る具体的数値については、技術の有する数値と基準の関係が分かるよう記載すること。</w:t>
      </w:r>
    </w:p>
    <w:p w:rsidR="006708F9" w:rsidRPr="00A371B5" w:rsidRDefault="006708F9" w:rsidP="006708F9">
      <w:pPr>
        <w:spacing w:line="240" w:lineRule="exact"/>
        <w:ind w:leftChars="200" w:left="690" w:hangingChars="100" w:hanging="210"/>
        <w:rPr>
          <w:rFonts w:ascii="ＭＳ ゴシック" w:eastAsia="ＭＳ ゴシック" w:hAnsi="ＭＳ ゴシック"/>
          <w:sz w:val="21"/>
          <w:szCs w:val="21"/>
        </w:rPr>
      </w:pPr>
      <w:r w:rsidRPr="00A371B5">
        <w:rPr>
          <w:rFonts w:ascii="ＭＳ ゴシック" w:eastAsia="ＭＳ ゴシック" w:hAnsi="ＭＳ ゴシック" w:hint="eastAsia"/>
          <w:sz w:val="21"/>
          <w:szCs w:val="21"/>
        </w:rPr>
        <w:t>・技術の仕様（性能）などが分かる資料を添付すること。</w:t>
      </w:r>
    </w:p>
    <w:p w:rsidR="006708F9" w:rsidRDefault="006708F9" w:rsidP="006708F9">
      <w:pPr>
        <w:ind w:rightChars="66" w:right="158"/>
        <w:rPr>
          <w:rFonts w:ascii="ＭＳ ゴシック" w:eastAsia="ＭＳ ゴシック" w:hAnsi="ＭＳ ゴシック"/>
          <w:sz w:val="22"/>
          <w:szCs w:val="22"/>
        </w:rPr>
      </w:pPr>
    </w:p>
    <w:p w:rsidR="006708F9" w:rsidRDefault="006708F9" w:rsidP="006708F9">
      <w:pPr>
        <w:ind w:rightChars="66" w:right="158"/>
        <w:rPr>
          <w:rFonts w:ascii="ＭＳ ゴシック" w:eastAsia="ＭＳ ゴシック" w:hAnsi="ＭＳ ゴシック"/>
          <w:sz w:val="22"/>
          <w:szCs w:val="22"/>
        </w:rPr>
      </w:pPr>
    </w:p>
    <w:p w:rsidR="006708F9" w:rsidRDefault="006708F9" w:rsidP="006708F9">
      <w:pPr>
        <w:ind w:rightChars="66" w:right="158"/>
        <w:rPr>
          <w:rFonts w:ascii="ＭＳ ゴシック" w:eastAsia="ＭＳ ゴシック" w:hAnsi="ＭＳ ゴシック"/>
          <w:b/>
          <w:bCs/>
          <w:sz w:val="22"/>
          <w:szCs w:val="22"/>
        </w:rPr>
      </w:pPr>
    </w:p>
    <w:p w:rsidR="006708F9" w:rsidRDefault="006708F9" w:rsidP="006708F9">
      <w:pPr>
        <w:ind w:rightChars="66" w:right="158"/>
        <w:rPr>
          <w:rFonts w:ascii="ＭＳ ゴシック" w:eastAsia="ＭＳ ゴシック" w:hAnsi="ＭＳ ゴシック"/>
          <w:b/>
          <w:bCs/>
          <w:sz w:val="22"/>
          <w:szCs w:val="22"/>
        </w:rPr>
      </w:pPr>
    </w:p>
    <w:p w:rsidR="00BE1B1E" w:rsidRDefault="00BE1B1E" w:rsidP="006708F9">
      <w:pPr>
        <w:ind w:rightChars="66" w:right="158"/>
        <w:rPr>
          <w:rFonts w:ascii="ＭＳ ゴシック" w:eastAsia="ＭＳ ゴシック" w:hAnsi="ＭＳ ゴシック"/>
          <w:b/>
          <w:bCs/>
          <w:sz w:val="22"/>
          <w:szCs w:val="22"/>
        </w:rPr>
      </w:pPr>
    </w:p>
    <w:p w:rsidR="00BE1B1E" w:rsidRDefault="00BE1B1E" w:rsidP="006708F9">
      <w:pPr>
        <w:ind w:rightChars="66" w:right="158"/>
        <w:rPr>
          <w:rFonts w:ascii="ＭＳ ゴシック" w:eastAsia="ＭＳ ゴシック" w:hAnsi="ＭＳ ゴシック" w:hint="eastAsia"/>
          <w:b/>
          <w:bCs/>
          <w:sz w:val="22"/>
          <w:szCs w:val="22"/>
        </w:rPr>
      </w:pPr>
    </w:p>
    <w:p w:rsidR="006708F9" w:rsidRDefault="006708F9" w:rsidP="006708F9">
      <w:pPr>
        <w:ind w:rightChars="66" w:right="158"/>
        <w:rPr>
          <w:rFonts w:ascii="ＭＳ ゴシック" w:eastAsia="ＭＳ ゴシック" w:hAnsi="ＭＳ ゴシック"/>
          <w:b/>
          <w:bCs/>
          <w:sz w:val="22"/>
          <w:szCs w:val="22"/>
        </w:rPr>
      </w:pPr>
    </w:p>
    <w:p w:rsidR="006708F9" w:rsidRPr="00900BA7" w:rsidRDefault="006708F9" w:rsidP="006708F9">
      <w:pPr>
        <w:ind w:rightChars="66" w:right="158"/>
        <w:rPr>
          <w:rFonts w:ascii="ＭＳ ゴシック" w:eastAsia="ＭＳ ゴシック" w:hAnsi="ＭＳ ゴシック"/>
          <w:b/>
          <w:bCs/>
          <w:sz w:val="22"/>
          <w:szCs w:val="22"/>
        </w:rPr>
      </w:pPr>
      <w:r w:rsidRPr="00900BA7">
        <w:rPr>
          <w:rFonts w:ascii="ＭＳ ゴシック" w:eastAsia="ＭＳ ゴシック" w:hAnsi="ＭＳ ゴシック" w:hint="eastAsia"/>
          <w:b/>
          <w:bCs/>
          <w:sz w:val="22"/>
          <w:szCs w:val="22"/>
        </w:rPr>
        <w:lastRenderedPageBreak/>
        <w:t>（記載例）「熱分解蒸着処理に係る技術」の場合</w:t>
      </w:r>
    </w:p>
    <w:p w:rsidR="006708F9" w:rsidRPr="00CA6ADC" w:rsidRDefault="006708F9" w:rsidP="006708F9">
      <w:pPr>
        <w:spacing w:afterLines="50" w:after="180"/>
        <w:ind w:rightChars="66" w:right="158"/>
        <w:rPr>
          <w:rFonts w:ascii="ＭＳ ゴシック" w:eastAsia="ＭＳ ゴシック" w:hAnsi="ＭＳ ゴシック"/>
          <w:sz w:val="22"/>
          <w:szCs w:val="22"/>
          <w:u w:val="single"/>
        </w:rPr>
      </w:pPr>
      <w:r w:rsidRPr="00CA6ADC">
        <w:rPr>
          <w:rFonts w:ascii="ＭＳ ゴシック" w:eastAsia="ＭＳ ゴシック" w:hAnsi="ＭＳ ゴシック" w:hint="eastAsia"/>
          <w:b/>
          <w:kern w:val="0"/>
          <w:sz w:val="28"/>
          <w:szCs w:val="28"/>
          <w:u w:val="single"/>
        </w:rPr>
        <w:t>（該</w:t>
      </w:r>
      <w:r>
        <w:rPr>
          <w:rFonts w:ascii="ＭＳ ゴシック" w:eastAsia="ＭＳ ゴシック" w:hAnsi="ＭＳ ゴシック" w:hint="eastAsia"/>
          <w:b/>
          <w:kern w:val="0"/>
          <w:sz w:val="28"/>
          <w:szCs w:val="28"/>
          <w:u w:val="single"/>
        </w:rPr>
        <w:t>非</w:t>
      </w:r>
      <w:r w:rsidRPr="00CA6ADC">
        <w:rPr>
          <w:rFonts w:ascii="ＭＳ ゴシック" w:eastAsia="ＭＳ ゴシック" w:hAnsi="ＭＳ ゴシック" w:hint="eastAsia"/>
          <w:b/>
          <w:kern w:val="0"/>
          <w:sz w:val="28"/>
          <w:szCs w:val="28"/>
          <w:u w:val="single"/>
        </w:rPr>
        <w:t>判定票別紙）外国為替令の関連項目等と技術の仕様（性能）の対比表</w:t>
      </w:r>
    </w:p>
    <w:p w:rsidR="006708F9" w:rsidRPr="00D62586" w:rsidRDefault="006708F9" w:rsidP="006708F9">
      <w:pPr>
        <w:ind w:rightChars="66" w:right="158" w:firstLineChars="100" w:firstLine="210"/>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該</w:t>
      </w:r>
      <w:r>
        <w:rPr>
          <w:rFonts w:ascii="ＭＳ ゴシック" w:eastAsia="ＭＳ ゴシック" w:hAnsi="ＭＳ ゴシック" w:hint="eastAsia"/>
          <w:sz w:val="21"/>
          <w:szCs w:val="21"/>
        </w:rPr>
        <w:t>非</w:t>
      </w:r>
      <w:r w:rsidRPr="00823750">
        <w:rPr>
          <w:rFonts w:ascii="ＭＳ ゴシック" w:eastAsia="ＭＳ ゴシック" w:hAnsi="ＭＳ ゴシック" w:hint="eastAsia"/>
          <w:sz w:val="21"/>
          <w:szCs w:val="21"/>
        </w:rPr>
        <w:t>判定票に記載した技術／貨物に係る、</w:t>
      </w:r>
      <w:r w:rsidRPr="00D62586">
        <w:rPr>
          <w:rFonts w:ascii="ＭＳ ゴシック" w:eastAsia="ＭＳ ゴシック" w:hAnsi="ＭＳ ゴシック" w:hint="eastAsia"/>
          <w:sz w:val="21"/>
          <w:szCs w:val="21"/>
        </w:rPr>
        <w:t>外国為替令の関係項、貨物等省令の関係箇所及び解釈通達の関係箇所と、本件技術の仕様（性能）との対応関係は、以下のとおりです。</w:t>
      </w:r>
    </w:p>
    <w:p w:rsidR="006708F9" w:rsidRPr="00CA6ADC" w:rsidRDefault="006708F9" w:rsidP="006708F9">
      <w:pPr>
        <w:spacing w:line="240" w:lineRule="exact"/>
        <w:rPr>
          <w:rFonts w:ascii="ＭＳ ゴシック" w:eastAsia="ＭＳ ゴシック" w:hAnsi="ＭＳ ゴシック" w:hint="eastAsi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992"/>
        <w:gridCol w:w="1559"/>
        <w:gridCol w:w="1701"/>
        <w:gridCol w:w="284"/>
        <w:gridCol w:w="2268"/>
      </w:tblGrid>
      <w:tr w:rsidR="006708F9" w:rsidRPr="005D440B" w:rsidTr="00E94ABB">
        <w:tc>
          <w:tcPr>
            <w:tcW w:w="2552" w:type="dxa"/>
            <w:gridSpan w:val="2"/>
            <w:tcBorders>
              <w:top w:val="single" w:sz="12" w:space="0" w:color="auto"/>
              <w:left w:val="single" w:sz="12" w:space="0" w:color="auto"/>
              <w:right w:val="single" w:sz="12" w:space="0" w:color="auto"/>
            </w:tcBorders>
          </w:tcPr>
          <w:p w:rsidR="006708F9" w:rsidRPr="005D440B" w:rsidRDefault="006708F9" w:rsidP="00E94ABB">
            <w:pPr>
              <w:ind w:leftChars="-64" w:left="1" w:rightChars="-48" w:right="-115" w:hangingChars="74" w:hanging="155"/>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外国為替令別表</w:t>
            </w:r>
          </w:p>
        </w:tc>
        <w:tc>
          <w:tcPr>
            <w:tcW w:w="2551" w:type="dxa"/>
            <w:gridSpan w:val="2"/>
            <w:tcBorders>
              <w:top w:val="single" w:sz="12" w:space="0" w:color="auto"/>
              <w:left w:val="single" w:sz="12" w:space="0" w:color="auto"/>
              <w:righ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貨物等省令</w:t>
            </w:r>
          </w:p>
        </w:tc>
        <w:tc>
          <w:tcPr>
            <w:tcW w:w="1701" w:type="dxa"/>
            <w:vMerge w:val="restart"/>
            <w:tcBorders>
              <w:top w:val="single" w:sz="12" w:space="0" w:color="auto"/>
              <w:left w:val="single" w:sz="12" w:space="0" w:color="auto"/>
              <w:right w:val="single" w:sz="12" w:space="0" w:color="auto"/>
            </w:tcBorders>
          </w:tcPr>
          <w:p w:rsidR="006708F9" w:rsidRPr="005D440B" w:rsidRDefault="006708F9" w:rsidP="00E94ABB">
            <w:pPr>
              <w:ind w:leftChars="-48" w:left="-113" w:rightChars="-48" w:right="-115" w:hangingChars="1" w:hanging="2"/>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解釈通達</w:t>
            </w:r>
          </w:p>
        </w:tc>
        <w:tc>
          <w:tcPr>
            <w:tcW w:w="284" w:type="dxa"/>
            <w:vMerge w:val="restart"/>
            <w:tcBorders>
              <w:top w:val="nil"/>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268" w:type="dxa"/>
            <w:vMerge w:val="restart"/>
            <w:tcBorders>
              <w:top w:val="single" w:sz="12" w:space="0" w:color="auto"/>
              <w:left w:val="single" w:sz="12" w:space="0" w:color="auto"/>
              <w:right w:val="single" w:sz="12" w:space="0" w:color="auto"/>
            </w:tcBorders>
          </w:tcPr>
          <w:p w:rsidR="006708F9" w:rsidRPr="005D440B" w:rsidRDefault="006708F9" w:rsidP="00E94ABB">
            <w:pPr>
              <w:ind w:leftChars="-48" w:left="-115" w:rightChars="-70" w:right="-16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技術の仕様</w:t>
            </w:r>
          </w:p>
          <w:p w:rsidR="006708F9" w:rsidRPr="005D440B" w:rsidRDefault="006708F9" w:rsidP="00E94ABB">
            <w:pPr>
              <w:jc w:val="center"/>
              <w:rPr>
                <w:rFonts w:ascii="ＭＳ ゴシック" w:eastAsia="ＭＳ ゴシック" w:hAnsi="ＭＳ ゴシック"/>
                <w:sz w:val="21"/>
                <w:szCs w:val="21"/>
              </w:rPr>
            </w:pPr>
          </w:p>
        </w:tc>
      </w:tr>
      <w:tr w:rsidR="006708F9" w:rsidRPr="005D440B" w:rsidTr="00E94ABB">
        <w:tc>
          <w:tcPr>
            <w:tcW w:w="993" w:type="dxa"/>
            <w:tcBorders>
              <w:left w:val="single" w:sz="12" w:space="0" w:color="auto"/>
            </w:tcBorders>
          </w:tcPr>
          <w:p w:rsidR="006708F9" w:rsidRPr="005D440B" w:rsidRDefault="006708F9" w:rsidP="00E94ABB">
            <w:pPr>
              <w:ind w:leftChars="-65" w:left="-156" w:rightChars="-66" w:right="-15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番</w:t>
            </w:r>
          </w:p>
        </w:tc>
        <w:tc>
          <w:tcPr>
            <w:tcW w:w="1559" w:type="dxa"/>
            <w:tcBorders>
              <w:righ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目</w:t>
            </w:r>
          </w:p>
        </w:tc>
        <w:tc>
          <w:tcPr>
            <w:tcW w:w="992" w:type="dxa"/>
            <w:tcBorders>
              <w:left w:val="single" w:sz="12" w:space="0" w:color="auto"/>
            </w:tcBorders>
          </w:tcPr>
          <w:p w:rsidR="006708F9" w:rsidRPr="005D440B" w:rsidRDefault="006708F9" w:rsidP="00E94ABB">
            <w:pPr>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番</w:t>
            </w:r>
          </w:p>
        </w:tc>
        <w:tc>
          <w:tcPr>
            <w:tcW w:w="1559" w:type="dxa"/>
            <w:tcBorders>
              <w:right w:val="single" w:sz="12" w:space="0" w:color="auto"/>
            </w:tcBorders>
          </w:tcPr>
          <w:p w:rsidR="006708F9" w:rsidRPr="005D440B" w:rsidRDefault="006708F9" w:rsidP="00E94ABB">
            <w:pPr>
              <w:tabs>
                <w:tab w:val="left" w:pos="2052"/>
              </w:tabs>
              <w:ind w:leftChars="-48" w:left="3" w:rightChars="-48" w:right="-115" w:hangingChars="56" w:hanging="118"/>
              <w:jc w:val="cente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項　目</w:t>
            </w:r>
          </w:p>
        </w:tc>
        <w:tc>
          <w:tcPr>
            <w:tcW w:w="1701" w:type="dxa"/>
            <w:vMerge/>
            <w:tcBorders>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84" w:type="dxa"/>
            <w:vMerge/>
            <w:tcBorders>
              <w:left w:val="single" w:sz="12" w:space="0" w:color="auto"/>
              <w:bottom w:val="nil"/>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c>
          <w:tcPr>
            <w:tcW w:w="2268" w:type="dxa"/>
            <w:vMerge/>
            <w:tcBorders>
              <w:left w:val="single" w:sz="12" w:space="0" w:color="auto"/>
              <w:right w:val="single" w:sz="12" w:space="0" w:color="auto"/>
            </w:tcBorders>
          </w:tcPr>
          <w:p w:rsidR="006708F9" w:rsidRPr="005D440B" w:rsidRDefault="006708F9" w:rsidP="00E94ABB">
            <w:pPr>
              <w:ind w:rightChars="66" w:right="158"/>
              <w:jc w:val="center"/>
              <w:rPr>
                <w:rFonts w:ascii="ＭＳ ゴシック" w:eastAsia="ＭＳ ゴシック" w:hAnsi="ＭＳ ゴシック"/>
                <w:sz w:val="21"/>
                <w:szCs w:val="21"/>
              </w:rPr>
            </w:pPr>
          </w:p>
        </w:tc>
      </w:tr>
      <w:tr w:rsidR="006708F9" w:rsidRPr="005D440B" w:rsidTr="00E94ABB">
        <w:trPr>
          <w:trHeight w:val="6389"/>
        </w:trPr>
        <w:tc>
          <w:tcPr>
            <w:tcW w:w="993" w:type="dxa"/>
            <w:tcBorders>
              <w:left w:val="single" w:sz="12" w:space="0" w:color="auto"/>
              <w:bottom w:val="single" w:sz="12" w:space="0" w:color="auto"/>
            </w:tcBorders>
          </w:tcPr>
          <w:p w:rsidR="006708F9" w:rsidRPr="005D440B" w:rsidRDefault="006708F9" w:rsidP="00E94ABB">
            <w:pP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第４項</w:t>
            </w:r>
          </w:p>
          <w:p w:rsidR="006708F9" w:rsidRPr="005D440B" w:rsidRDefault="006708F9" w:rsidP="00E94ABB">
            <w:pPr>
              <w:ind w:rightChars="13" w:right="31"/>
              <w:rPr>
                <w:rFonts w:ascii="ＭＳ ゴシック" w:eastAsia="ＭＳ ゴシック" w:hAnsi="ＭＳ ゴシック"/>
                <w:sz w:val="21"/>
                <w:szCs w:val="21"/>
              </w:rPr>
            </w:pPr>
          </w:p>
          <w:p w:rsidR="006708F9" w:rsidRPr="005D440B" w:rsidRDefault="006708F9" w:rsidP="00E94ABB">
            <w:pPr>
              <w:rPr>
                <w:rFonts w:ascii="ＭＳ ゴシック" w:eastAsia="ＭＳ ゴシック" w:hAnsi="ＭＳ ゴシック"/>
                <w:sz w:val="21"/>
                <w:szCs w:val="21"/>
              </w:rPr>
            </w:pPr>
            <w:r w:rsidRPr="005D440B">
              <w:rPr>
                <w:rFonts w:ascii="ＭＳ ゴシック" w:eastAsia="ＭＳ ゴシック" w:hAnsi="ＭＳ ゴシック" w:hint="eastAsia"/>
                <w:sz w:val="21"/>
                <w:szCs w:val="21"/>
              </w:rPr>
              <w:t>（５）</w:t>
            </w:r>
          </w:p>
        </w:tc>
        <w:tc>
          <w:tcPr>
            <w:tcW w:w="1559" w:type="dxa"/>
            <w:tcBorders>
              <w:bottom w:val="single" w:sz="12" w:space="0" w:color="auto"/>
              <w:right w:val="single" w:sz="12" w:space="0" w:color="auto"/>
            </w:tcBorders>
          </w:tcPr>
          <w:p w:rsidR="006708F9" w:rsidRPr="005D440B" w:rsidRDefault="006708F9" w:rsidP="00E94ABB">
            <w:pPr>
              <w:widowControl/>
              <w:spacing w:before="100" w:beforeAutospacing="1" w:after="100" w:afterAutospacing="1"/>
              <w:jc w:val="left"/>
              <w:rPr>
                <w:rFonts w:ascii="ＭＳ ゴシック" w:eastAsia="ＭＳ ゴシック" w:hAnsi="ＭＳ ゴシック" w:cs="ＭＳ Ｐゴシック"/>
                <w:kern w:val="0"/>
                <w:sz w:val="21"/>
                <w:szCs w:val="21"/>
              </w:rPr>
            </w:pPr>
            <w:r w:rsidRPr="00823750">
              <w:rPr>
                <w:rFonts w:ascii="ＭＳ ゴシック" w:eastAsia="ＭＳ ゴシック" w:hAnsi="ＭＳ ゴシック" w:cs="ＭＳ Ｐゴシック" w:hint="eastAsia"/>
                <w:kern w:val="0"/>
                <w:sz w:val="21"/>
                <w:szCs w:val="21"/>
              </w:rPr>
              <w:t>原料ガスの熱分解により</w:t>
            </w:r>
            <w:r w:rsidR="0024741C">
              <w:rPr>
                <w:rFonts w:ascii="ＭＳ ゴシック" w:eastAsia="ＭＳ ゴシック" w:hAnsi="ＭＳ ゴシック" w:cs="ＭＳ Ｐゴシック" w:hint="eastAsia"/>
                <w:kern w:val="0"/>
                <w:sz w:val="21"/>
                <w:szCs w:val="21"/>
              </w:rPr>
              <w:t>生成する物質を基材に定着させるための装置の使用にかかる技術であっ</w:t>
            </w:r>
            <w:r w:rsidRPr="00823750">
              <w:rPr>
                <w:rFonts w:ascii="ＭＳ ゴシック" w:eastAsia="ＭＳ ゴシック" w:hAnsi="ＭＳ ゴシック" w:cs="ＭＳ Ｐゴシック" w:hint="eastAsia"/>
                <w:kern w:val="0"/>
                <w:sz w:val="21"/>
                <w:szCs w:val="21"/>
              </w:rPr>
              <w:t>て、経済産業省令で定めるもの</w:t>
            </w:r>
          </w:p>
        </w:tc>
        <w:tc>
          <w:tcPr>
            <w:tcW w:w="992" w:type="dxa"/>
            <w:tcBorders>
              <w:left w:val="single" w:sz="12" w:space="0" w:color="auto"/>
              <w:bottom w:val="single" w:sz="12" w:space="0" w:color="auto"/>
            </w:tcBorders>
          </w:tcPr>
          <w:p w:rsidR="006708F9" w:rsidRPr="00823750" w:rsidRDefault="006708F9" w:rsidP="00E94ABB">
            <w:pPr>
              <w:widowControl/>
              <w:spacing w:before="100" w:beforeAutospacing="1" w:after="100" w:afterAutospacing="1"/>
              <w:rPr>
                <w:rFonts w:ascii="ＭＳ ゴシック" w:eastAsia="ＭＳ ゴシック" w:hAnsi="ＭＳ ゴシック" w:cs="ＭＳ Ｐゴシック"/>
                <w:kern w:val="0"/>
                <w:sz w:val="21"/>
                <w:szCs w:val="21"/>
              </w:rPr>
            </w:pPr>
            <w:r w:rsidRPr="00823750">
              <w:rPr>
                <w:rFonts w:ascii="ＭＳ ゴシック" w:eastAsia="ＭＳ ゴシック" w:hAnsi="ＭＳ ゴシック" w:cs="ＭＳ Ｐゴシック" w:hint="eastAsia"/>
                <w:kern w:val="0"/>
                <w:sz w:val="21"/>
                <w:szCs w:val="21"/>
              </w:rPr>
              <w:t>第１６条</w:t>
            </w:r>
          </w:p>
          <w:p w:rsidR="006708F9" w:rsidRPr="005D440B" w:rsidRDefault="006708F9" w:rsidP="00E94ABB">
            <w:pPr>
              <w:widowControl/>
              <w:spacing w:before="100" w:beforeAutospacing="1" w:after="100" w:afterAutospacing="1"/>
              <w:rPr>
                <w:rFonts w:ascii="ＭＳ ゴシック" w:eastAsia="ＭＳ ゴシック" w:hAnsi="ＭＳ ゴシック" w:cs="ＭＳ Ｐゴシック"/>
                <w:kern w:val="0"/>
                <w:sz w:val="21"/>
                <w:szCs w:val="21"/>
              </w:rPr>
            </w:pPr>
            <w:r w:rsidRPr="00823750">
              <w:rPr>
                <w:rFonts w:ascii="ＭＳ ゴシック" w:eastAsia="ＭＳ ゴシック" w:hAnsi="ＭＳ ゴシック" w:cs="ＭＳ Ｐゴシック" w:hint="eastAsia"/>
                <w:kern w:val="0"/>
                <w:sz w:val="21"/>
                <w:szCs w:val="21"/>
              </w:rPr>
              <w:t>第５項</w:t>
            </w:r>
          </w:p>
        </w:tc>
        <w:tc>
          <w:tcPr>
            <w:tcW w:w="1559" w:type="dxa"/>
            <w:tcBorders>
              <w:bottom w:val="single" w:sz="12" w:space="0" w:color="auto"/>
              <w:right w:val="single" w:sz="12" w:space="0" w:color="auto"/>
            </w:tcBorders>
          </w:tcPr>
          <w:p w:rsidR="006708F9" w:rsidRPr="005D440B" w:rsidRDefault="006708F9" w:rsidP="00E94ABB">
            <w:pPr>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外為令別表４の項（５）の経済産業省令で定める技術は、原料ガスの熱分解（1,300度以上2,900度以下の温度範囲において、かつ、130パスカル以上20,000パスカル以下の絶対圧力の範囲において行うものに限る。）により生成する物質を基材に定着させるための技術とする。</w:t>
            </w:r>
          </w:p>
        </w:tc>
        <w:tc>
          <w:tcPr>
            <w:tcW w:w="1701" w:type="dxa"/>
            <w:tcBorders>
              <w:left w:val="single" w:sz="12" w:space="0" w:color="auto"/>
              <w:bottom w:val="single" w:sz="12" w:space="0" w:color="auto"/>
              <w:right w:val="single" w:sz="12" w:space="0" w:color="auto"/>
            </w:tcBorders>
          </w:tcPr>
          <w:p w:rsidR="006708F9" w:rsidRPr="005D440B" w:rsidRDefault="006708F9" w:rsidP="00E94ABB">
            <w:pPr>
              <w:ind w:rightChars="66" w:right="158"/>
              <w:rPr>
                <w:rFonts w:ascii="ＭＳ ゴシック" w:eastAsia="ＭＳ ゴシック" w:hAnsi="ＭＳ ゴシック"/>
                <w:sz w:val="21"/>
                <w:szCs w:val="21"/>
              </w:rPr>
            </w:pPr>
            <w:r w:rsidRPr="005D440B">
              <w:rPr>
                <w:rFonts w:ascii="ＭＳ ゴシック" w:eastAsia="ＭＳ ゴシック" w:hAnsi="ＭＳ ゴシック"/>
                <w:noProof/>
                <w:sz w:val="21"/>
                <w:szCs w:val="21"/>
              </w:rPr>
              <mc:AlternateContent>
                <mc:Choice Requires="wpg">
                  <w:drawing>
                    <wp:anchor distT="0" distB="0" distL="114300" distR="114300" simplePos="0" relativeHeight="251668480" behindDoc="0" locked="0" layoutInCell="1" allowOverlap="1">
                      <wp:simplePos x="0" y="0"/>
                      <wp:positionH relativeFrom="column">
                        <wp:posOffset>984250</wp:posOffset>
                      </wp:positionH>
                      <wp:positionV relativeFrom="paragraph">
                        <wp:posOffset>10173970</wp:posOffset>
                      </wp:positionV>
                      <wp:extent cx="1279525" cy="5808980"/>
                      <wp:effectExtent l="12065" t="10160" r="13335" b="1016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9525" cy="5808980"/>
                                <a:chOff x="8359" y="6174"/>
                                <a:chExt cx="2015" cy="9148"/>
                              </a:xfrm>
                            </wpg:grpSpPr>
                            <wps:wsp>
                              <wps:cNvPr id="3" name="Text Box 19"/>
                              <wps:cNvSpPr txBox="1">
                                <a:spLocks noChangeArrowheads="1"/>
                              </wps:cNvSpPr>
                              <wps:spPr bwMode="auto">
                                <a:xfrm>
                                  <a:off x="8362" y="6174"/>
                                  <a:ext cx="2012" cy="1305"/>
                                </a:xfrm>
                                <a:prstGeom prst="rect">
                                  <a:avLst/>
                                </a:prstGeom>
                                <a:solidFill>
                                  <a:srgbClr val="FFFFFF"/>
                                </a:solidFill>
                                <a:ln w="9525">
                                  <a:solidFill>
                                    <a:srgbClr val="000000"/>
                                  </a:solidFill>
                                  <a:miter lim="800000"/>
                                  <a:headEnd/>
                                  <a:tailEnd/>
                                </a:ln>
                              </wps:spPr>
                              <wps:txbx>
                                <w:txbxContent>
                                  <w:p w:rsidR="006708F9" w:rsidRPr="006F0EDA" w:rsidRDefault="006708F9" w:rsidP="006708F9">
                                    <w:pPr>
                                      <w:ind w:rightChars="66" w:right="158"/>
                                      <w:jc w:val="center"/>
                                      <w:rPr>
                                        <w:sz w:val="22"/>
                                        <w:szCs w:val="22"/>
                                      </w:rPr>
                                    </w:pPr>
                                    <w:r w:rsidRPr="006F0EDA">
                                      <w:rPr>
                                        <w:rFonts w:hint="eastAsia"/>
                                        <w:sz w:val="22"/>
                                        <w:szCs w:val="22"/>
                                      </w:rPr>
                                      <w:t>型及び等級</w:t>
                                    </w:r>
                                  </w:p>
                                  <w:p w:rsidR="006708F9" w:rsidRPr="006F0EDA" w:rsidRDefault="006708F9" w:rsidP="006708F9">
                                    <w:pPr>
                                      <w:ind w:rightChars="66" w:right="158"/>
                                      <w:jc w:val="center"/>
                                      <w:rPr>
                                        <w:sz w:val="22"/>
                                        <w:szCs w:val="22"/>
                                      </w:rPr>
                                    </w:pPr>
                                  </w:p>
                                  <w:p w:rsidR="006708F9" w:rsidRDefault="006708F9" w:rsidP="006708F9">
                                    <w:pPr>
                                      <w:jc w:val="center"/>
                                    </w:pPr>
                                    <w:r w:rsidRPr="006F0EDA">
                                      <w:rPr>
                                        <w:rFonts w:hint="eastAsia"/>
                                        <w:sz w:val="22"/>
                                        <w:szCs w:val="22"/>
                                      </w:rPr>
                                      <w:t>ABC/DEFG</w:t>
                                    </w:r>
                                  </w:p>
                                </w:txbxContent>
                              </wps:txbx>
                              <wps:bodyPr rot="0" vert="horz" wrap="square" lIns="74295" tIns="8890" rIns="74295" bIns="8890" anchor="t" anchorCtr="0" upright="1">
                                <a:noAutofit/>
                              </wps:bodyPr>
                            </wps:wsp>
                            <wps:wsp>
                              <wps:cNvPr id="4" name="Text Box 20"/>
                              <wps:cNvSpPr txBox="1">
                                <a:spLocks noChangeArrowheads="1"/>
                              </wps:cNvSpPr>
                              <wps:spPr bwMode="auto">
                                <a:xfrm>
                                  <a:off x="8359" y="7479"/>
                                  <a:ext cx="2012" cy="7843"/>
                                </a:xfrm>
                                <a:prstGeom prst="rect">
                                  <a:avLst/>
                                </a:prstGeom>
                                <a:solidFill>
                                  <a:srgbClr val="FFFFFF"/>
                                </a:solidFill>
                                <a:ln w="9525">
                                  <a:solidFill>
                                    <a:srgbClr val="000000"/>
                                  </a:solidFill>
                                  <a:miter lim="800000"/>
                                  <a:headEnd/>
                                  <a:tailEnd/>
                                </a:ln>
                              </wps:spPr>
                              <wps:txbx>
                                <w:txbxContent>
                                  <w:p w:rsidR="006708F9" w:rsidRPr="006F0EDA" w:rsidRDefault="006708F9" w:rsidP="006708F9">
                                    <w:pPr>
                                      <w:ind w:rightChars="66" w:right="158"/>
                                      <w:rPr>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p w:rsidR="006708F9" w:rsidRDefault="006708F9" w:rsidP="006708F9">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4" style="position:absolute;left:0;text-align:left;margin-left:77.5pt;margin-top:801.1pt;width:100.75pt;height:457.4pt;z-index:251668480" coordorigin="8359,6174" coordsize="2015,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">
                      <v:shape id="Text Box 19" o:spid="_x0000_s1035" type="#_x0000_t202" style="position:absolute;left:8362;top:6174;width:2012;height:1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6708F9" w:rsidRPr="006F0EDA" w:rsidRDefault="006708F9" w:rsidP="006708F9">
                              <w:pPr>
                                <w:ind w:rightChars="66" w:right="158"/>
                                <w:jc w:val="center"/>
                                <w:rPr>
                                  <w:rFonts w:hint="eastAsia"/>
                                  <w:sz w:val="22"/>
                                  <w:szCs w:val="22"/>
                                </w:rPr>
                              </w:pPr>
                              <w:r w:rsidRPr="006F0EDA">
                                <w:rPr>
                                  <w:rFonts w:hint="eastAsia"/>
                                  <w:sz w:val="22"/>
                                  <w:szCs w:val="22"/>
                                </w:rPr>
                                <w:t>型及び等級</w:t>
                              </w:r>
                            </w:p>
                            <w:p w:rsidR="006708F9" w:rsidRPr="006F0EDA" w:rsidRDefault="006708F9" w:rsidP="006708F9">
                              <w:pPr>
                                <w:ind w:rightChars="66" w:right="158"/>
                                <w:jc w:val="center"/>
                                <w:rPr>
                                  <w:rFonts w:hint="eastAsia"/>
                                  <w:sz w:val="22"/>
                                  <w:szCs w:val="22"/>
                                </w:rPr>
                              </w:pPr>
                            </w:p>
                            <w:p w:rsidR="006708F9" w:rsidRDefault="006708F9" w:rsidP="006708F9">
                              <w:pPr>
                                <w:jc w:val="center"/>
                              </w:pPr>
                              <w:r w:rsidRPr="006F0EDA">
                                <w:rPr>
                                  <w:rFonts w:hint="eastAsia"/>
                                  <w:sz w:val="22"/>
                                  <w:szCs w:val="22"/>
                                </w:rPr>
                                <w:t>ABC/DEFG</w:t>
                              </w:r>
                            </w:p>
                          </w:txbxContent>
                        </v:textbox>
                      </v:shape>
                      <v:shape id="Text Box 20" o:spid="_x0000_s1036" type="#_x0000_t202" style="position:absolute;left:8359;top:7479;width:2012;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6708F9" w:rsidRPr="006F0EDA" w:rsidRDefault="006708F9" w:rsidP="006708F9">
                              <w:pPr>
                                <w:ind w:rightChars="66" w:right="158"/>
                                <w:rPr>
                                  <w:rFonts w:hint="eastAsia"/>
                                  <w:sz w:val="22"/>
                                  <w:szCs w:val="22"/>
                                </w:rPr>
                              </w:pPr>
                              <w:r w:rsidRPr="006F0EDA">
                                <w:rPr>
                                  <w:rFonts w:hint="eastAsia"/>
                                  <w:sz w:val="22"/>
                                  <w:szCs w:val="22"/>
                                </w:rPr>
                                <w:t>呼び径が</w:t>
                              </w:r>
                              <w:r w:rsidRPr="006F0EDA">
                                <w:rPr>
                                  <w:rFonts w:hint="eastAsia"/>
                                  <w:sz w:val="22"/>
                                  <w:szCs w:val="22"/>
                                  <w:u w:val="single"/>
                                </w:rPr>
                                <w:t>４０Ａ</w:t>
                              </w:r>
                              <w:r w:rsidRPr="006F0EDA">
                                <w:rPr>
                                  <w:rFonts w:hint="eastAsia"/>
                                  <w:sz w:val="22"/>
                                  <w:szCs w:val="22"/>
                                </w:rPr>
                                <w:t>で該当</w:t>
                              </w: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p>
                            <w:p w:rsidR="006708F9" w:rsidRDefault="006708F9" w:rsidP="006708F9">
                              <w:pPr>
                                <w:rPr>
                                  <w:rFonts w:hint="eastAsia"/>
                                </w:rPr>
                              </w:pPr>
                              <w:r w:rsidRPr="006F0EDA">
                                <w:rPr>
                                  <w:rFonts w:hint="eastAsia"/>
                                  <w:sz w:val="22"/>
                                  <w:szCs w:val="22"/>
                                </w:rPr>
                                <w:t>ハ　内容物と接触するすべての部分が</w:t>
                              </w:r>
                              <w:r w:rsidRPr="006F0EDA">
                                <w:rPr>
                                  <w:rFonts w:hint="eastAsia"/>
                                  <w:b/>
                                  <w:bCs/>
                                  <w:sz w:val="22"/>
                                  <w:szCs w:val="22"/>
                                  <w:u w:val="single"/>
                                </w:rPr>
                                <w:t>ふっ素樹脂</w:t>
                              </w:r>
                              <w:r w:rsidRPr="006F0EDA">
                                <w:rPr>
                                  <w:rFonts w:hint="eastAsia"/>
                                  <w:sz w:val="22"/>
                                  <w:szCs w:val="22"/>
                                </w:rPr>
                                <w:t>で被覆されており該当</w:t>
                              </w:r>
                            </w:p>
                          </w:txbxContent>
                        </v:textbox>
                      </v:shape>
                    </v:group>
                  </w:pict>
                </mc:Fallback>
              </mc:AlternateContent>
            </w:r>
          </w:p>
        </w:tc>
        <w:tc>
          <w:tcPr>
            <w:tcW w:w="284" w:type="dxa"/>
            <w:tcBorders>
              <w:top w:val="nil"/>
              <w:left w:val="single" w:sz="12" w:space="0" w:color="auto"/>
              <w:bottom w:val="nil"/>
              <w:right w:val="single" w:sz="12" w:space="0" w:color="auto"/>
            </w:tcBorders>
          </w:tcPr>
          <w:p w:rsidR="006708F9" w:rsidRPr="005D440B" w:rsidRDefault="006708F9" w:rsidP="00E94ABB">
            <w:pPr>
              <w:ind w:rightChars="66" w:right="158"/>
              <w:rPr>
                <w:rFonts w:ascii="ＭＳ ゴシック" w:eastAsia="ＭＳ ゴシック" w:hAnsi="ＭＳ ゴシック"/>
                <w:sz w:val="21"/>
                <w:szCs w:val="21"/>
              </w:rPr>
            </w:pPr>
          </w:p>
        </w:tc>
        <w:tc>
          <w:tcPr>
            <w:tcW w:w="2268" w:type="dxa"/>
            <w:tcBorders>
              <w:left w:val="single" w:sz="12" w:space="0" w:color="auto"/>
              <w:bottom w:val="single" w:sz="12" w:space="0" w:color="auto"/>
              <w:right w:val="single" w:sz="12" w:space="0" w:color="auto"/>
            </w:tcBorders>
          </w:tcPr>
          <w:p w:rsidR="006708F9" w:rsidRPr="00823750" w:rsidRDefault="006708F9" w:rsidP="00E94ABB">
            <w:pPr>
              <w:ind w:left="210" w:hangingChars="100" w:hanging="210"/>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・2,000～2,500度の温度範囲</w:t>
            </w:r>
          </w:p>
          <w:p w:rsidR="006708F9" w:rsidRPr="00823750" w:rsidRDefault="006708F9" w:rsidP="00E94ABB">
            <w:pPr>
              <w:ind w:left="210" w:hangingChars="100" w:hanging="210"/>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・15,000～20,000パスカルの絶対圧力</w:t>
            </w:r>
          </w:p>
          <w:p w:rsidR="006708F9" w:rsidRPr="00823750" w:rsidRDefault="006708F9" w:rsidP="00E94ABB">
            <w:pPr>
              <w:rPr>
                <w:rFonts w:ascii="ＭＳ ゴシック" w:eastAsia="ＭＳ ゴシック" w:hAnsi="ＭＳ ゴシック"/>
                <w:sz w:val="21"/>
                <w:szCs w:val="21"/>
              </w:rPr>
            </w:pPr>
          </w:p>
          <w:p w:rsidR="006708F9" w:rsidRPr="00823750" w:rsidRDefault="006708F9" w:rsidP="00E94ABB">
            <w:pPr>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以上の条件の下、原料ガスの熱分解により生成する物質を基材に定着させるための技術である。</w:t>
            </w:r>
          </w:p>
          <w:p w:rsidR="006708F9" w:rsidRPr="00823750" w:rsidRDefault="006708F9" w:rsidP="00E94ABB">
            <w:pPr>
              <w:rPr>
                <w:rFonts w:ascii="ＭＳ ゴシック" w:eastAsia="ＭＳ ゴシック" w:hAnsi="ＭＳ ゴシック"/>
                <w:sz w:val="21"/>
                <w:szCs w:val="21"/>
              </w:rPr>
            </w:pPr>
          </w:p>
          <w:p w:rsidR="006708F9" w:rsidRPr="005D440B" w:rsidRDefault="006708F9" w:rsidP="00E94ABB">
            <w:pPr>
              <w:rPr>
                <w:rFonts w:ascii="ＭＳ ゴシック" w:eastAsia="ＭＳ ゴシック" w:hAnsi="ＭＳ ゴシック"/>
                <w:sz w:val="21"/>
                <w:szCs w:val="21"/>
              </w:rPr>
            </w:pPr>
            <w:r w:rsidRPr="00823750">
              <w:rPr>
                <w:rFonts w:ascii="ＭＳ ゴシック" w:eastAsia="ＭＳ ゴシック" w:hAnsi="ＭＳ ゴシック" w:hint="eastAsia"/>
                <w:sz w:val="21"/>
                <w:szCs w:val="21"/>
              </w:rPr>
              <w:t>したがって、該当。</w:t>
            </w:r>
          </w:p>
        </w:tc>
      </w:tr>
    </w:tbl>
    <w:p w:rsidR="006708F9" w:rsidRPr="00CA6ADC" w:rsidRDefault="006708F9" w:rsidP="006708F9">
      <w:pPr>
        <w:ind w:rightChars="66" w:right="158"/>
        <w:rPr>
          <w:rFonts w:ascii="ＭＳ Ｐゴシック" w:eastAsia="ＭＳ Ｐゴシック" w:hAnsi="ＭＳ Ｐゴシック"/>
          <w:sz w:val="22"/>
          <w:szCs w:val="22"/>
        </w:rPr>
      </w:pPr>
      <w:r w:rsidRPr="00CA6ADC">
        <w:rPr>
          <w:rFonts w:ascii="ＭＳ Ｐゴシック" w:eastAsia="ＭＳ Ｐゴシック" w:hAnsi="ＭＳ Ｐゴシック"/>
          <w:noProof/>
          <w:sz w:val="22"/>
          <w:szCs w:val="22"/>
        </w:rPr>
        <mc:AlternateContent>
          <mc:Choice Requires="wps">
            <w:drawing>
              <wp:anchor distT="0" distB="0" distL="114300" distR="114300" simplePos="0" relativeHeight="251667456" behindDoc="0" locked="0" layoutInCell="1" allowOverlap="1">
                <wp:simplePos x="0" y="0"/>
                <wp:positionH relativeFrom="column">
                  <wp:posOffset>2136775</wp:posOffset>
                </wp:positionH>
                <wp:positionV relativeFrom="paragraph">
                  <wp:posOffset>121920</wp:posOffset>
                </wp:positionV>
                <wp:extent cx="3797300" cy="263525"/>
                <wp:effectExtent l="8255" t="9525" r="1397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263525"/>
                        </a:xfrm>
                        <a:prstGeom prst="rect">
                          <a:avLst/>
                        </a:prstGeom>
                        <a:solidFill>
                          <a:srgbClr val="FFFFFF"/>
                        </a:solidFill>
                        <a:ln w="9525">
                          <a:solidFill>
                            <a:srgbClr val="000000"/>
                          </a:solidFill>
                          <a:miter lim="800000"/>
                          <a:headEnd/>
                          <a:tailEnd/>
                        </a:ln>
                      </wps:spPr>
                      <wps:txbx>
                        <w:txbxContent>
                          <w:p w:rsidR="006708F9" w:rsidRPr="00B761E7" w:rsidRDefault="006708F9" w:rsidP="006708F9">
                            <w:pPr>
                              <w:jc w:val="center"/>
                              <w:rPr>
                                <w:rFonts w:ascii="ＭＳ Ｐゴシック" w:eastAsia="ＭＳ Ｐゴシック" w:hAnsi="ＭＳ Ｐゴシック"/>
                              </w:rPr>
                            </w:pPr>
                            <w:r w:rsidRPr="00B761E7">
                              <w:rPr>
                                <w:rFonts w:ascii="ＭＳ Ｐゴシック" w:eastAsia="ＭＳ Ｐゴシック" w:hAnsi="ＭＳ Ｐゴシック" w:hint="eastAsia"/>
                              </w:rPr>
                              <w:t xml:space="preserve">技術の該非判定結果　</w:t>
                            </w:r>
                            <w:r>
                              <w:rPr>
                                <w:rFonts w:ascii="ＭＳ Ｐゴシック" w:eastAsia="ＭＳ Ｐゴシック" w:hAnsi="ＭＳ Ｐゴシック" w:hint="eastAsia"/>
                              </w:rPr>
                              <w:t xml:space="preserve">　</w:t>
                            </w:r>
                            <w:r w:rsidRPr="00B761E7">
                              <w:rPr>
                                <w:rFonts w:ascii="ＭＳ Ｐゴシック" w:eastAsia="ＭＳ Ｐゴシック" w:hAnsi="ＭＳ Ｐゴシック" w:hint="eastAsia"/>
                              </w:rPr>
                              <w:t>■ 該当  □ 非該当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7" type="#_x0000_t202" style="position:absolute;left:0;text-align:left;margin-left:168.25pt;margin-top:9.6pt;width:299pt;height: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">
                <v:textbox inset="5.85pt,.7pt,5.85pt,.7pt">
                  <w:txbxContent>
                    <w:p w:rsidR="006708F9" w:rsidRPr="00B761E7" w:rsidRDefault="006708F9" w:rsidP="006708F9">
                      <w:pPr>
                        <w:jc w:val="center"/>
                        <w:rPr>
                          <w:rFonts w:ascii="ＭＳ Ｐゴシック" w:eastAsia="ＭＳ Ｐゴシック" w:hAnsi="ＭＳ Ｐゴシック" w:hint="eastAsia"/>
                        </w:rPr>
                      </w:pPr>
                      <w:r w:rsidRPr="00B761E7">
                        <w:rPr>
                          <w:rFonts w:ascii="ＭＳ Ｐゴシック" w:eastAsia="ＭＳ Ｐゴシック" w:hAnsi="ＭＳ Ｐゴシック" w:hint="eastAsia"/>
                        </w:rPr>
                        <w:t xml:space="preserve">技術の該非判定結果　</w:t>
                      </w:r>
                      <w:r>
                        <w:rPr>
                          <w:rFonts w:ascii="ＭＳ Ｐゴシック" w:eastAsia="ＭＳ Ｐゴシック" w:hAnsi="ＭＳ Ｐゴシック" w:hint="eastAsia"/>
                        </w:rPr>
                        <w:t xml:space="preserve">　</w:t>
                      </w:r>
                      <w:r w:rsidRPr="00B761E7">
                        <w:rPr>
                          <w:rFonts w:ascii="ＭＳ Ｐゴシック" w:eastAsia="ＭＳ Ｐゴシック" w:hAnsi="ＭＳ Ｐゴシック" w:hint="eastAsia"/>
                        </w:rPr>
                        <w:t>■ 該当  □ 非該当</w:t>
                      </w:r>
                    </w:p>
                  </w:txbxContent>
                </v:textbox>
              </v:shape>
            </w:pict>
          </mc:Fallback>
        </mc:AlternateContent>
      </w:r>
    </w:p>
    <w:p w:rsidR="006708F9" w:rsidRDefault="006708F9" w:rsidP="006708F9">
      <w:pPr>
        <w:ind w:rightChars="66" w:right="158"/>
        <w:rPr>
          <w:rFonts w:ascii="ＭＳ ゴシック" w:eastAsia="ＭＳ ゴシック" w:hAnsi="ＭＳ ゴシック"/>
          <w:sz w:val="22"/>
          <w:szCs w:val="22"/>
        </w:rPr>
      </w:pPr>
    </w:p>
    <w:sectPr w:rsidR="006708F9" w:rsidSect="00FF6D48">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D5" w:rsidRDefault="00864BD5" w:rsidP="006708F9">
      <w:r>
        <w:separator/>
      </w:r>
    </w:p>
  </w:endnote>
  <w:endnote w:type="continuationSeparator" w:id="0">
    <w:p w:rsidR="00864BD5" w:rsidRDefault="00864BD5" w:rsidP="0067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BF" w:rsidRDefault="004669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F9" w:rsidRPr="006708F9" w:rsidRDefault="004669BF" w:rsidP="006708F9">
    <w:pPr>
      <w:pStyle w:val="a5"/>
      <w:jc w:val="right"/>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hint="eastAsia"/>
        <w:sz w:val="20"/>
        <w:szCs w:val="20"/>
        <w:bdr w:val="single" w:sz="4" w:space="0" w:color="auto"/>
      </w:rPr>
      <w:t>リスト</w:t>
    </w:r>
    <w:bookmarkStart w:id="0" w:name="_GoBack"/>
    <w:bookmarkEnd w:id="0"/>
    <w:r w:rsidR="006708F9" w:rsidRPr="006708F9">
      <w:rPr>
        <w:rFonts w:ascii="ＭＳ Ｐゴシック" w:eastAsia="ＭＳ Ｐゴシック" w:hAnsi="ＭＳ Ｐゴシック" w:hint="eastAsia"/>
        <w:sz w:val="20"/>
        <w:szCs w:val="20"/>
        <w:bdr w:val="single" w:sz="4" w:space="0" w:color="auto"/>
      </w:rPr>
      <w:t>規制</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BF" w:rsidRDefault="004669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D5" w:rsidRDefault="00864BD5" w:rsidP="006708F9">
      <w:r>
        <w:separator/>
      </w:r>
    </w:p>
  </w:footnote>
  <w:footnote w:type="continuationSeparator" w:id="0">
    <w:p w:rsidR="00864BD5" w:rsidRDefault="00864BD5" w:rsidP="00670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BF" w:rsidRDefault="004669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F9" w:rsidRPr="006708F9" w:rsidRDefault="006708F9">
    <w:pPr>
      <w:pStyle w:val="a3"/>
    </w:pPr>
  </w:p>
  <w:p w:rsidR="006708F9" w:rsidRDefault="006708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D48" w:rsidRPr="00900BA7" w:rsidRDefault="00FF6D48" w:rsidP="00FF6D48">
    <w:pPr>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作　成　日：　　　　　　年　　　　月　　　　日</w:t>
    </w:r>
  </w:p>
  <w:p w:rsidR="00FF6D48" w:rsidRPr="00900BA7" w:rsidRDefault="00FF6D48" w:rsidP="00FF6D48">
    <w:pPr>
      <w:rPr>
        <w:rFonts w:ascii="ＭＳ ゴシック" w:eastAsia="ＭＳ ゴシック" w:hAnsi="ＭＳ ゴシック"/>
        <w:sz w:val="21"/>
        <w:szCs w:val="21"/>
      </w:rPr>
    </w:pPr>
    <w:r w:rsidRPr="00900BA7">
      <w:rPr>
        <w:rFonts w:ascii="ＭＳ ゴシック" w:eastAsia="ＭＳ ゴシック" w:hAnsi="ＭＳ ゴシック" w:hint="eastAsia"/>
        <w:sz w:val="21"/>
        <w:szCs w:val="21"/>
      </w:rPr>
      <w:t>作成者：氏名　　　　　　　　　　　　　所属・職名</w:t>
    </w:r>
  </w:p>
  <w:p w:rsidR="00FF6D48" w:rsidRPr="00FF6D48" w:rsidRDefault="00FF6D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F9"/>
    <w:rsid w:val="001A731F"/>
    <w:rsid w:val="0024741C"/>
    <w:rsid w:val="00312A2A"/>
    <w:rsid w:val="004669BF"/>
    <w:rsid w:val="006708F9"/>
    <w:rsid w:val="006D1221"/>
    <w:rsid w:val="00864BD5"/>
    <w:rsid w:val="00BE1B1E"/>
    <w:rsid w:val="00FF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56950"/>
  <w15:chartTrackingRefBased/>
  <w15:docId w15:val="{AF7C0D3E-3523-4B88-90BA-92572156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8F9"/>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8F9"/>
    <w:pPr>
      <w:tabs>
        <w:tab w:val="center" w:pos="4252"/>
        <w:tab w:val="right" w:pos="8504"/>
      </w:tabs>
      <w:snapToGrid w:val="0"/>
    </w:pPr>
  </w:style>
  <w:style w:type="character" w:customStyle="1" w:styleId="a4">
    <w:name w:val="ヘッダー (文字)"/>
    <w:basedOn w:val="a0"/>
    <w:link w:val="a3"/>
    <w:uiPriority w:val="99"/>
    <w:rsid w:val="006708F9"/>
    <w:rPr>
      <w:rFonts w:ascii="Century" w:eastAsia="ＭＳ Ｐ明朝" w:hAnsi="Century" w:cs="Times New Roman"/>
      <w:sz w:val="24"/>
      <w:szCs w:val="24"/>
    </w:rPr>
  </w:style>
  <w:style w:type="paragraph" w:styleId="a5">
    <w:name w:val="footer"/>
    <w:basedOn w:val="a"/>
    <w:link w:val="a6"/>
    <w:uiPriority w:val="99"/>
    <w:unhideWhenUsed/>
    <w:rsid w:val="006708F9"/>
    <w:pPr>
      <w:tabs>
        <w:tab w:val="center" w:pos="4252"/>
        <w:tab w:val="right" w:pos="8504"/>
      </w:tabs>
      <w:snapToGrid w:val="0"/>
    </w:pPr>
  </w:style>
  <w:style w:type="character" w:customStyle="1" w:styleId="a6">
    <w:name w:val="フッター (文字)"/>
    <w:basedOn w:val="a0"/>
    <w:link w:val="a5"/>
    <w:uiPriority w:val="99"/>
    <w:rsid w:val="006708F9"/>
    <w:rPr>
      <w:rFonts w:ascii="Century" w:eastAsia="ＭＳ Ｐ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永見　聡一朗</cp:lastModifiedBy>
  <cp:revision>5</cp:revision>
  <dcterms:created xsi:type="dcterms:W3CDTF">2018-02-08T09:26:00Z</dcterms:created>
  <dcterms:modified xsi:type="dcterms:W3CDTF">2018-03-23T07:21:00Z</dcterms:modified>
</cp:coreProperties>
</file>